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9" w:rsidRPr="00D55BDD" w:rsidRDefault="007D1769" w:rsidP="00457C69">
      <w:pPr>
        <w:overflowPunct/>
        <w:autoSpaceDE/>
        <w:autoSpaceDN/>
        <w:adjustRightInd/>
        <w:spacing w:after="0"/>
        <w:jc w:val="left"/>
        <w:textAlignment w:val="auto"/>
        <w:rPr>
          <w:b/>
          <w:noProof/>
          <w:sz w:val="24"/>
        </w:rPr>
      </w:pPr>
      <w:r w:rsidRPr="00D55BDD">
        <w:rPr>
          <w:b/>
          <w:noProof/>
          <w:sz w:val="24"/>
        </w:rPr>
        <w:t>3GPP TSG-RAN WG2 Meeting #99</w:t>
      </w:r>
      <w:r w:rsidR="00457C69" w:rsidRPr="00D55BDD">
        <w:rPr>
          <w:b/>
          <w:noProof/>
          <w:sz w:val="24"/>
        </w:rPr>
        <w:t xml:space="preserve">                                       </w:t>
      </w:r>
      <w:r w:rsidR="00457C69" w:rsidRPr="00D55BDD">
        <w:rPr>
          <w:b/>
          <w:i/>
          <w:noProof/>
          <w:sz w:val="28"/>
        </w:rPr>
        <w:tab/>
      </w:r>
      <w:r w:rsidR="00457C69" w:rsidRPr="00D55BDD">
        <w:rPr>
          <w:b/>
          <w:noProof/>
          <w:sz w:val="24"/>
        </w:rPr>
        <w:t xml:space="preserve">                     </w:t>
      </w:r>
      <w:r w:rsidR="00D55BDD">
        <w:rPr>
          <w:b/>
          <w:noProof/>
          <w:sz w:val="24"/>
        </w:rPr>
        <w:t xml:space="preserve">  </w:t>
      </w:r>
      <w:r w:rsidR="00457C69" w:rsidRPr="00D55BDD">
        <w:rPr>
          <w:b/>
          <w:noProof/>
          <w:sz w:val="24"/>
        </w:rPr>
        <w:t>R2-17</w:t>
      </w:r>
      <w:r w:rsidR="00D55BDD" w:rsidRPr="00D55BDD">
        <w:rPr>
          <w:b/>
          <w:noProof/>
          <w:sz w:val="24"/>
        </w:rPr>
        <w:t>08050</w:t>
      </w:r>
    </w:p>
    <w:p w:rsidR="00457C69" w:rsidRDefault="007D1769" w:rsidP="00457C69">
      <w:pPr>
        <w:pStyle w:val="Header"/>
      </w:pPr>
      <w:r w:rsidRPr="007D1769">
        <w:t>Berlin, Germany, 21st – 25th August 2017</w:t>
      </w:r>
      <w:r w:rsidR="00457C69">
        <w:t xml:space="preserve">                                               </w:t>
      </w:r>
    </w:p>
    <w:p w:rsidR="00AA08E4" w:rsidRDefault="00AA08E4" w:rsidP="00AA08E4">
      <w:pPr>
        <w:pStyle w:val="CRCoverPage"/>
        <w:outlineLvl w:val="0"/>
        <w:rPr>
          <w:b/>
          <w:noProof/>
          <w:sz w:val="24"/>
          <w:lang w:eastAsia="ja-JP"/>
        </w:rPr>
      </w:pPr>
    </w:p>
    <w:p w:rsidR="00AA08E4" w:rsidRDefault="00AA08E4" w:rsidP="00AA08E4">
      <w:pPr>
        <w:pStyle w:val="CRCoverPage"/>
        <w:ind w:left="1988" w:hanging="1988"/>
        <w:rPr>
          <w:b/>
          <w:noProof/>
          <w:sz w:val="24"/>
        </w:rPr>
      </w:pPr>
      <w:r>
        <w:rPr>
          <w:b/>
          <w:noProof/>
          <w:sz w:val="24"/>
        </w:rPr>
        <w:t>Agenda Item:</w:t>
      </w:r>
      <w:r>
        <w:rPr>
          <w:b/>
          <w:noProof/>
          <w:sz w:val="24"/>
        </w:rPr>
        <w:tab/>
      </w:r>
      <w:r w:rsidR="00B060AA" w:rsidRPr="00B060AA">
        <w:rPr>
          <w:b/>
          <w:noProof/>
          <w:sz w:val="24"/>
        </w:rPr>
        <w:t>10.3.1.4.4</w:t>
      </w:r>
      <w:r w:rsidRPr="003B70BF">
        <w:rPr>
          <w:b/>
          <w:noProof/>
          <w:sz w:val="24"/>
        </w:rPr>
        <w:tab/>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875AA2">
        <w:rPr>
          <w:b/>
          <w:noProof/>
          <w:sz w:val="24"/>
        </w:rPr>
        <w:t xml:space="preserve">Support </w:t>
      </w:r>
      <w:r w:rsidR="00C758E4">
        <w:rPr>
          <w:b/>
          <w:noProof/>
          <w:sz w:val="24"/>
        </w:rPr>
        <w:t>Initial Access on</w:t>
      </w:r>
      <w:r w:rsidR="00875AA2">
        <w:rPr>
          <w:b/>
          <w:noProof/>
          <w:sz w:val="24"/>
        </w:rPr>
        <w:t xml:space="preserve"> Supplementary </w:t>
      </w:r>
      <w:r w:rsidR="007328A4">
        <w:rPr>
          <w:b/>
          <w:noProof/>
          <w:sz w:val="24"/>
        </w:rPr>
        <w:t>Uplink</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0606C2" w:rsidRDefault="000606C2" w:rsidP="000606C2">
      <w:pPr>
        <w:pStyle w:val="CRCoverPage"/>
        <w:spacing w:before="120"/>
        <w:jc w:val="both"/>
        <w:rPr>
          <w:lang w:val="en-US"/>
        </w:rPr>
      </w:pPr>
      <w:r w:rsidRPr="000606C2">
        <w:rPr>
          <w:lang w:val="en-US"/>
        </w:rPr>
        <w:t>During RAN1#89 meeting</w:t>
      </w:r>
      <w:r w:rsidR="009E3E1E">
        <w:rPr>
          <w:lang w:val="en-US"/>
        </w:rPr>
        <w:t xml:space="preserve"> </w:t>
      </w:r>
      <w:r w:rsidR="009E3E1E">
        <w:rPr>
          <w:lang w:val="en-US"/>
        </w:rPr>
        <w:fldChar w:fldCharType="begin"/>
      </w:r>
      <w:r w:rsidR="009E3E1E">
        <w:rPr>
          <w:lang w:val="en-US"/>
        </w:rPr>
        <w:instrText xml:space="preserve"> REF _Ref490058590 \r \h </w:instrText>
      </w:r>
      <w:r w:rsidR="009E3E1E">
        <w:rPr>
          <w:lang w:val="en-US"/>
        </w:rPr>
      </w:r>
      <w:r w:rsidR="009E3E1E">
        <w:rPr>
          <w:lang w:val="en-US"/>
        </w:rPr>
        <w:fldChar w:fldCharType="separate"/>
      </w:r>
      <w:r w:rsidR="009E3E1E">
        <w:rPr>
          <w:lang w:val="en-US"/>
        </w:rPr>
        <w:t>[1]</w:t>
      </w:r>
      <w:r w:rsidR="009E3E1E">
        <w:rPr>
          <w:lang w:val="en-US"/>
        </w:rPr>
        <w:fldChar w:fldCharType="end"/>
      </w:r>
      <w:r w:rsidRPr="000606C2">
        <w:rPr>
          <w:lang w:val="en-US"/>
        </w:rPr>
        <w:t xml:space="preserve">, RAN WG1 has </w:t>
      </w:r>
      <w:r>
        <w:rPr>
          <w:lang w:val="en-US"/>
        </w:rPr>
        <w:t xml:space="preserve">sent LS </w:t>
      </w:r>
      <w:r w:rsidR="00A45AB2">
        <w:rPr>
          <w:lang w:val="en-US"/>
        </w:rPr>
        <w:fldChar w:fldCharType="begin"/>
      </w:r>
      <w:r w:rsidR="00A45AB2">
        <w:rPr>
          <w:lang w:val="en-US"/>
        </w:rPr>
        <w:instrText xml:space="preserve"> REF _Ref489920020 \r \h </w:instrText>
      </w:r>
      <w:r w:rsidR="00A45AB2">
        <w:rPr>
          <w:lang w:val="en-US"/>
        </w:rPr>
      </w:r>
      <w:r w:rsidR="00A45AB2">
        <w:rPr>
          <w:lang w:val="en-US"/>
        </w:rPr>
        <w:fldChar w:fldCharType="separate"/>
      </w:r>
      <w:r w:rsidR="009E4454">
        <w:rPr>
          <w:lang w:val="en-US"/>
        </w:rPr>
        <w:t>[2]</w:t>
      </w:r>
      <w:r w:rsidR="00A45AB2">
        <w:rPr>
          <w:lang w:val="en-US"/>
        </w:rPr>
        <w:fldChar w:fldCharType="end"/>
      </w:r>
      <w:r w:rsidR="00A45AB2">
        <w:rPr>
          <w:lang w:val="en-US"/>
        </w:rPr>
        <w:t xml:space="preserve"> </w:t>
      </w:r>
      <w:r>
        <w:rPr>
          <w:lang w:val="en-US"/>
        </w:rPr>
        <w:t xml:space="preserve">to </w:t>
      </w:r>
      <w:r w:rsidRPr="000606C2">
        <w:t xml:space="preserve">inform RAN2 and RAN4 </w:t>
      </w:r>
      <w:r>
        <w:t xml:space="preserve">the agreement to </w:t>
      </w:r>
      <w:r w:rsidRPr="000606C2">
        <w:rPr>
          <w:lang w:val="en-US"/>
        </w:rPr>
        <w:t>support supplementary Uplink frequency as below</w:t>
      </w:r>
      <w:r w:rsidR="00AA3FA4">
        <w:rPr>
          <w:lang w:val="en-US"/>
        </w:rPr>
        <w:t>:</w:t>
      </w:r>
    </w:p>
    <w:tbl>
      <w:tblPr>
        <w:tblStyle w:val="TableGrid"/>
        <w:tblW w:w="0" w:type="auto"/>
        <w:tblLook w:val="04A0" w:firstRow="1" w:lastRow="0" w:firstColumn="1" w:lastColumn="0" w:noHBand="0" w:noVBand="1"/>
      </w:tblPr>
      <w:tblGrid>
        <w:gridCol w:w="9350"/>
      </w:tblGrid>
      <w:tr w:rsidR="000606C2" w:rsidTr="000606C2">
        <w:tc>
          <w:tcPr>
            <w:tcW w:w="9350" w:type="dxa"/>
          </w:tcPr>
          <w:p w:rsidR="000606C2" w:rsidRPr="006608CE" w:rsidRDefault="000606C2" w:rsidP="000606C2">
            <w:r w:rsidRPr="006608CE">
              <w:rPr>
                <w:highlight w:val="green"/>
              </w:rPr>
              <w:t>Agreements</w:t>
            </w:r>
            <w:r w:rsidRPr="006608CE">
              <w:t>:</w:t>
            </w:r>
          </w:p>
          <w:p w:rsidR="000606C2" w:rsidRPr="006608CE" w:rsidRDefault="000606C2" w:rsidP="000606C2">
            <w:pPr>
              <w:numPr>
                <w:ilvl w:val="0"/>
                <w:numId w:val="15"/>
              </w:numPr>
              <w:overflowPunct/>
              <w:autoSpaceDE/>
              <w:autoSpaceDN/>
              <w:adjustRightInd/>
              <w:spacing w:after="0"/>
              <w:jc w:val="left"/>
              <w:textAlignment w:val="auto"/>
              <w:rPr>
                <w:lang w:val="en-US"/>
              </w:rPr>
            </w:pPr>
            <w:r w:rsidRPr="006608CE">
              <w:t xml:space="preserve">Specify mechanisms for supporting supplementary Uplink frequency </w:t>
            </w:r>
          </w:p>
          <w:p w:rsidR="000606C2" w:rsidRPr="006608CE" w:rsidRDefault="000606C2" w:rsidP="000606C2">
            <w:pPr>
              <w:numPr>
                <w:ilvl w:val="1"/>
                <w:numId w:val="15"/>
              </w:numPr>
              <w:overflowPunct/>
              <w:autoSpaceDE/>
              <w:autoSpaceDN/>
              <w:adjustRightInd/>
              <w:spacing w:after="0"/>
              <w:jc w:val="left"/>
              <w:textAlignment w:val="auto"/>
              <w:rPr>
                <w:lang w:val="en-US"/>
              </w:rPr>
            </w:pPr>
            <w:r w:rsidRPr="006608CE">
              <w:t>Note: SUL herein refers to the case when there is only UL resource for a carrier from NR perspective</w:t>
            </w:r>
          </w:p>
          <w:p w:rsidR="000606C2" w:rsidRPr="006608CE" w:rsidRDefault="000606C2" w:rsidP="000606C2">
            <w:pPr>
              <w:numPr>
                <w:ilvl w:val="1"/>
                <w:numId w:val="15"/>
              </w:numPr>
              <w:overflowPunct/>
              <w:autoSpaceDE/>
              <w:autoSpaceDN/>
              <w:adjustRightInd/>
              <w:spacing w:after="0"/>
              <w:jc w:val="left"/>
              <w:textAlignment w:val="auto"/>
              <w:rPr>
                <w:lang w:val="en-US"/>
              </w:rPr>
            </w:pPr>
            <w:r w:rsidRPr="006608CE">
              <w:t xml:space="preserve">Use SUL as complimentary access link (including from random access point of view) to NR TDD and to NR FDD, where the UE may select PRACH resources either in the NR TDD/FDD uplink frequency or the SUL frequency. </w:t>
            </w:r>
          </w:p>
          <w:p w:rsidR="000606C2" w:rsidRPr="006608CE" w:rsidRDefault="000606C2" w:rsidP="000606C2">
            <w:pPr>
              <w:numPr>
                <w:ilvl w:val="1"/>
                <w:numId w:val="15"/>
              </w:numPr>
              <w:overflowPunct/>
              <w:autoSpaceDE/>
              <w:autoSpaceDN/>
              <w:adjustRightInd/>
              <w:spacing w:after="0"/>
              <w:jc w:val="left"/>
              <w:textAlignment w:val="auto"/>
              <w:rPr>
                <w:lang w:val="en-US"/>
              </w:rPr>
            </w:pPr>
            <w:r w:rsidRPr="006608CE">
              <w:t>Note: The SUL frequency can be a frequency shared with LTE UL(at least for the case when NR spectrum is below 6 Ghz).</w:t>
            </w:r>
          </w:p>
          <w:p w:rsidR="000606C2" w:rsidRPr="006608CE" w:rsidRDefault="000606C2" w:rsidP="000606C2">
            <w:pPr>
              <w:numPr>
                <w:ilvl w:val="2"/>
                <w:numId w:val="15"/>
              </w:numPr>
              <w:overflowPunct/>
              <w:autoSpaceDE/>
              <w:autoSpaceDN/>
              <w:adjustRightInd/>
              <w:spacing w:after="0"/>
              <w:jc w:val="left"/>
              <w:textAlignment w:val="auto"/>
              <w:rPr>
                <w:lang w:val="en-US"/>
              </w:rPr>
            </w:pPr>
            <w:r w:rsidRPr="006608CE">
              <w:rPr>
                <w:lang w:val="en-US"/>
              </w:rPr>
              <w:t>Minimize impact to NR physical layer design to enable this co-existence</w:t>
            </w:r>
          </w:p>
          <w:p w:rsidR="000606C2" w:rsidRPr="000606C2" w:rsidRDefault="000606C2" w:rsidP="00EF6727">
            <w:pPr>
              <w:numPr>
                <w:ilvl w:val="1"/>
                <w:numId w:val="15"/>
              </w:numPr>
              <w:overflowPunct/>
              <w:autoSpaceDE/>
              <w:autoSpaceDN/>
              <w:adjustRightInd/>
              <w:spacing w:after="0"/>
              <w:jc w:val="left"/>
              <w:textAlignment w:val="auto"/>
            </w:pPr>
            <w:r w:rsidRPr="006608CE">
              <w:t>Note: whether or not UE has to support simultaneous transmission on uplink frequencies is a separate discussion</w:t>
            </w:r>
          </w:p>
        </w:tc>
      </w:tr>
    </w:tbl>
    <w:p w:rsidR="000606C2" w:rsidRDefault="000606C2" w:rsidP="000606C2">
      <w:pPr>
        <w:pStyle w:val="CRCoverPage"/>
        <w:spacing w:before="120"/>
        <w:jc w:val="both"/>
        <w:rPr>
          <w:lang w:val="en-US"/>
        </w:rPr>
      </w:pPr>
    </w:p>
    <w:p w:rsidR="00861035" w:rsidRPr="00AA3FA4" w:rsidRDefault="009E3E1E" w:rsidP="00832FDD">
      <w:pPr>
        <w:pStyle w:val="CRCoverPage"/>
        <w:spacing w:before="120"/>
        <w:jc w:val="both"/>
        <w:rPr>
          <w:lang w:val="en-US"/>
        </w:rPr>
      </w:pPr>
      <w:r>
        <w:rPr>
          <w:rFonts w:eastAsia="Malgun Gothic"/>
          <w:lang w:val="en-US" w:eastAsia="ko-KR"/>
        </w:rPr>
        <w:t xml:space="preserve">SUL refers to a carrier with only UL resource. As addressed in </w:t>
      </w:r>
      <w:r>
        <w:rPr>
          <w:rFonts w:eastAsia="Malgun Gothic"/>
          <w:lang w:val="en-US" w:eastAsia="ko-KR"/>
        </w:rPr>
        <w:fldChar w:fldCharType="begin"/>
      </w:r>
      <w:r>
        <w:rPr>
          <w:rFonts w:eastAsia="Malgun Gothic"/>
          <w:lang w:val="en-US" w:eastAsia="ko-KR"/>
        </w:rPr>
        <w:instrText xml:space="preserve"> REF _Ref489343465 \r \h </w:instrText>
      </w:r>
      <w:r>
        <w:rPr>
          <w:rFonts w:eastAsia="Malgun Gothic"/>
          <w:lang w:val="en-US" w:eastAsia="ko-KR"/>
        </w:rPr>
      </w:r>
      <w:r>
        <w:rPr>
          <w:rFonts w:eastAsia="Malgun Gothic"/>
          <w:lang w:val="en-US" w:eastAsia="ko-KR"/>
        </w:rPr>
        <w:fldChar w:fldCharType="separate"/>
      </w:r>
      <w:r>
        <w:rPr>
          <w:rFonts w:eastAsia="Malgun Gothic"/>
          <w:lang w:val="en-US" w:eastAsia="ko-KR"/>
        </w:rPr>
        <w:t>[3]</w:t>
      </w:r>
      <w:r>
        <w:rPr>
          <w:rFonts w:eastAsia="Malgun Gothic"/>
          <w:lang w:val="en-US" w:eastAsia="ko-KR"/>
        </w:rPr>
        <w:fldChar w:fldCharType="end"/>
      </w:r>
      <w:r>
        <w:rPr>
          <w:rFonts w:eastAsia="Malgun Gothic"/>
          <w:lang w:val="en-US" w:eastAsia="ko-KR"/>
        </w:rPr>
        <w:t xml:space="preserve">, applying SUL frequency have the benefit of coverage enhancement. However, related management and mechanism to support SUL is not yet proposed and discussed. </w:t>
      </w:r>
      <w:r w:rsidR="00832FDD" w:rsidRPr="00AA3FA4">
        <w:rPr>
          <w:lang w:val="en-US"/>
        </w:rPr>
        <w:t xml:space="preserve">In this </w:t>
      </w:r>
      <w:r>
        <w:rPr>
          <w:lang w:val="en-US"/>
        </w:rPr>
        <w:t>paper</w:t>
      </w:r>
      <w:r w:rsidR="00832FDD" w:rsidRPr="00AA3FA4">
        <w:rPr>
          <w:lang w:val="en-US"/>
        </w:rPr>
        <w:t xml:space="preserve">, </w:t>
      </w:r>
      <w:r w:rsidR="00861035" w:rsidRPr="00AA3FA4">
        <w:rPr>
          <w:lang w:val="en-US"/>
        </w:rPr>
        <w:t xml:space="preserve">we discuss </w:t>
      </w:r>
      <w:r w:rsidR="009015AA">
        <w:rPr>
          <w:lang w:val="en-US"/>
        </w:rPr>
        <w:t xml:space="preserve">the </w:t>
      </w:r>
      <w:r w:rsidR="000606C2">
        <w:rPr>
          <w:lang w:val="en-US"/>
        </w:rPr>
        <w:t xml:space="preserve">support of SUL </w:t>
      </w:r>
      <w:r w:rsidR="00EF6727">
        <w:rPr>
          <w:lang w:val="en-US"/>
        </w:rPr>
        <w:t>for initial access</w:t>
      </w:r>
      <w:r w:rsidR="000606C2">
        <w:rPr>
          <w:lang w:val="en-US"/>
        </w:rPr>
        <w:t>.</w:t>
      </w:r>
      <w:r w:rsidR="00861035" w:rsidRPr="00AA3FA4">
        <w:rPr>
          <w:lang w:val="en-US"/>
        </w:rPr>
        <w:t xml:space="preserve"> </w:t>
      </w: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FD5F88" w:rsidRDefault="00FD5F88" w:rsidP="00EB4ACF">
      <w:pPr>
        <w:rPr>
          <w:lang w:val="en-US"/>
        </w:rPr>
      </w:pPr>
    </w:p>
    <w:p w:rsidR="0051118B" w:rsidRDefault="0058136F" w:rsidP="00EB4ACF">
      <w:pPr>
        <w:rPr>
          <w:lang w:val="en-US"/>
        </w:rPr>
      </w:pPr>
      <w:r>
        <w:rPr>
          <w:lang w:val="en-US"/>
        </w:rPr>
        <w:t xml:space="preserve">If a UE is configured with SUL, UE </w:t>
      </w:r>
      <w:r w:rsidR="006E6A59">
        <w:rPr>
          <w:lang w:val="en-US"/>
        </w:rPr>
        <w:t xml:space="preserve">has </w:t>
      </w:r>
      <w:r w:rsidR="0051118B">
        <w:rPr>
          <w:lang w:val="en-US"/>
        </w:rPr>
        <w:t xml:space="preserve">at least two available UL carriers, i.e. one is the UL carrier corresponding to the DL carrier frequency, and one is the SUL carrier. To perform initial access, UE need to decide which UL carrier is applied for RACH preamble transmission. </w:t>
      </w:r>
    </w:p>
    <w:p w:rsidR="007E2BD9" w:rsidRDefault="0051118B" w:rsidP="00EB4ACF">
      <w:pPr>
        <w:rPr>
          <w:lang w:val="en-US"/>
        </w:rPr>
      </w:pPr>
      <w:r>
        <w:rPr>
          <w:lang w:val="en-US"/>
        </w:rPr>
        <w:t xml:space="preserve">To select a carrier for RACH preamble transmission, </w:t>
      </w:r>
      <w:r>
        <w:rPr>
          <w:lang w:val="en-US"/>
        </w:rPr>
        <w:t>we could refer to the design in NB-IoT.</w:t>
      </w:r>
      <w:r>
        <w:rPr>
          <w:lang w:val="en-US"/>
        </w:rPr>
        <w:t xml:space="preserve"> </w:t>
      </w:r>
      <w:r w:rsidR="007E2BD9">
        <w:rPr>
          <w:lang w:val="en-US"/>
        </w:rPr>
        <w:t>In NB-IoT, for</w:t>
      </w:r>
      <w:r w:rsidR="0058136F">
        <w:rPr>
          <w:lang w:val="en-US"/>
        </w:rPr>
        <w:t xml:space="preserve"> a NB-IoT UE configured with non-anchor carriers, UE </w:t>
      </w:r>
      <w:r w:rsidR="007E2BD9">
        <w:rPr>
          <w:lang w:val="en-US"/>
        </w:rPr>
        <w:t xml:space="preserve">will </w:t>
      </w:r>
      <w:r w:rsidR="0058136F">
        <w:rPr>
          <w:lang w:val="en-US"/>
        </w:rPr>
        <w:t>select one of UL carrier for RACH preamble transmission</w:t>
      </w:r>
      <w:r w:rsidR="007E2BD9">
        <w:rPr>
          <w:lang w:val="en-US"/>
        </w:rPr>
        <w:t xml:space="preserve"> by first deciding</w:t>
      </w:r>
      <w:r w:rsidR="005F2EEC">
        <w:rPr>
          <w:lang w:val="en-US"/>
        </w:rPr>
        <w:t xml:space="preserve"> the required coverage enhancement level according to RSRP measurement, and accordingly decide </w:t>
      </w:r>
      <w:r w:rsidR="0058136F">
        <w:rPr>
          <w:lang w:val="en-US"/>
        </w:rPr>
        <w:t xml:space="preserve">the </w:t>
      </w:r>
      <w:r w:rsidR="00307606">
        <w:rPr>
          <w:lang w:val="en-US"/>
        </w:rPr>
        <w:t xml:space="preserve">list of </w:t>
      </w:r>
      <w:r w:rsidR="001C3FA2">
        <w:rPr>
          <w:lang w:val="en-US"/>
        </w:rPr>
        <w:t xml:space="preserve">carriers with </w:t>
      </w:r>
      <w:r w:rsidR="005F2EEC">
        <w:rPr>
          <w:lang w:val="en-US"/>
        </w:rPr>
        <w:t xml:space="preserve">available PRACH. UE then probabilistically select a carrier </w:t>
      </w:r>
      <w:r w:rsidR="001C3FA2">
        <w:rPr>
          <w:lang w:val="en-US"/>
        </w:rPr>
        <w:t xml:space="preserve">from those carrier candidates </w:t>
      </w:r>
      <w:r w:rsidR="005F2EEC">
        <w:rPr>
          <w:lang w:val="en-US"/>
        </w:rPr>
        <w:t>to send preamble</w:t>
      </w:r>
      <w:r w:rsidR="00794E02">
        <w:rPr>
          <w:lang w:val="en-US"/>
        </w:rPr>
        <w:t xml:space="preserve"> on the PRACH of the selected carrier</w:t>
      </w:r>
      <w:r w:rsidR="005F2EEC">
        <w:rPr>
          <w:lang w:val="en-US"/>
        </w:rPr>
        <w:t>.</w:t>
      </w:r>
    </w:p>
    <w:p w:rsidR="002E5A4A" w:rsidRDefault="00FD1C1F" w:rsidP="00EB4ACF">
      <w:pPr>
        <w:rPr>
          <w:lang w:val="en-US"/>
        </w:rPr>
      </w:pPr>
      <w:r>
        <w:rPr>
          <w:lang w:val="en-US"/>
        </w:rPr>
        <w:t>With similar logic</w:t>
      </w:r>
      <w:r w:rsidR="002E5A4A">
        <w:rPr>
          <w:lang w:val="en-US"/>
        </w:rPr>
        <w:t>,</w:t>
      </w:r>
      <w:r>
        <w:rPr>
          <w:lang w:val="en-US"/>
        </w:rPr>
        <w:t xml:space="preserve"> we think</w:t>
      </w:r>
      <w:r w:rsidR="002E5A4A">
        <w:rPr>
          <w:lang w:val="en-US"/>
        </w:rPr>
        <w:t xml:space="preserve"> </w:t>
      </w:r>
      <w:r>
        <w:rPr>
          <w:lang w:val="en-US"/>
        </w:rPr>
        <w:t xml:space="preserve">pathloss threshold could be applied for PRACH selection for SUL-configured UE. That is, </w:t>
      </w:r>
      <w:r w:rsidR="002E5A4A">
        <w:rPr>
          <w:lang w:val="en-US"/>
        </w:rPr>
        <w:t>if UE finds that the pa</w:t>
      </w:r>
      <w:r w:rsidR="00794E02">
        <w:rPr>
          <w:lang w:val="en-US"/>
        </w:rPr>
        <w:t>th</w:t>
      </w:r>
      <w:r w:rsidR="002E5A4A">
        <w:rPr>
          <w:lang w:val="en-US"/>
        </w:rPr>
        <w:t xml:space="preserve">loss from </w:t>
      </w:r>
      <w:r w:rsidR="00307606">
        <w:rPr>
          <w:lang w:val="en-US"/>
        </w:rPr>
        <w:t xml:space="preserve">the </w:t>
      </w:r>
      <w:r w:rsidR="006B0B15">
        <w:rPr>
          <w:lang w:val="en-US"/>
        </w:rPr>
        <w:t xml:space="preserve">UL carrier </w:t>
      </w:r>
      <w:r w:rsidR="00307606">
        <w:rPr>
          <w:lang w:val="en-US"/>
        </w:rPr>
        <w:t xml:space="preserve">corresponding to DL carrier frequency </w:t>
      </w:r>
      <w:r w:rsidR="006B0B15">
        <w:rPr>
          <w:lang w:val="en-US"/>
        </w:rPr>
        <w:t xml:space="preserve">is above a threshold, the UE select the PRACH </w:t>
      </w:r>
      <w:r w:rsidR="00307606">
        <w:rPr>
          <w:lang w:val="en-US"/>
        </w:rPr>
        <w:t>on</w:t>
      </w:r>
      <w:r w:rsidR="006B0B15">
        <w:rPr>
          <w:lang w:val="en-US"/>
        </w:rPr>
        <w:t xml:space="preserve"> SUL</w:t>
      </w:r>
      <w:r w:rsidR="00256BEA">
        <w:rPr>
          <w:lang w:val="en-US"/>
        </w:rPr>
        <w:t>,</w:t>
      </w:r>
      <w:r w:rsidR="006B0B15">
        <w:rPr>
          <w:lang w:val="en-US"/>
        </w:rPr>
        <w:t xml:space="preserve"> or select the PRACH </w:t>
      </w:r>
      <w:r w:rsidR="00307606">
        <w:rPr>
          <w:lang w:val="en-US"/>
        </w:rPr>
        <w:t>on</w:t>
      </w:r>
      <w:r w:rsidR="006B0B15">
        <w:rPr>
          <w:lang w:val="en-US"/>
        </w:rPr>
        <w:t xml:space="preserve"> SUL with a higher probability.</w:t>
      </w:r>
    </w:p>
    <w:p w:rsidR="002E5A4A" w:rsidRDefault="002E5A4A" w:rsidP="00EB4ACF">
      <w:pPr>
        <w:rPr>
          <w:lang w:val="en-US"/>
        </w:rPr>
      </w:pPr>
    </w:p>
    <w:p w:rsidR="00867575" w:rsidRDefault="00867575" w:rsidP="00EB4ACF">
      <w:pPr>
        <w:rPr>
          <w:b/>
          <w:lang w:val="en-US"/>
        </w:rPr>
      </w:pPr>
      <w:r w:rsidRPr="00BC3E0F">
        <w:rPr>
          <w:b/>
          <w:lang w:val="en-US"/>
        </w:rPr>
        <w:lastRenderedPageBreak/>
        <w:t>Observation</w:t>
      </w:r>
      <w:r w:rsidR="00333ACF">
        <w:rPr>
          <w:b/>
          <w:lang w:val="en-US"/>
        </w:rPr>
        <w:t xml:space="preserve"> 1</w:t>
      </w:r>
      <w:r w:rsidRPr="00BC3E0F">
        <w:rPr>
          <w:b/>
          <w:lang w:val="en-US"/>
        </w:rPr>
        <w:t xml:space="preserve">: In NB-IoT, UE select </w:t>
      </w:r>
      <w:r w:rsidR="00FC1057">
        <w:rPr>
          <w:b/>
          <w:lang w:val="en-US"/>
        </w:rPr>
        <w:t xml:space="preserve">PRACH on one of available </w:t>
      </w:r>
      <w:r w:rsidRPr="00BC3E0F">
        <w:rPr>
          <w:b/>
          <w:lang w:val="en-US"/>
        </w:rPr>
        <w:t xml:space="preserve">carrier </w:t>
      </w:r>
      <w:r w:rsidR="00FC1057">
        <w:rPr>
          <w:b/>
          <w:lang w:val="en-US"/>
        </w:rPr>
        <w:t>based on</w:t>
      </w:r>
      <w:r w:rsidRPr="00BC3E0F">
        <w:rPr>
          <w:b/>
          <w:lang w:val="en-US"/>
        </w:rPr>
        <w:t xml:space="preserve"> RSRP measurement.</w:t>
      </w:r>
    </w:p>
    <w:p w:rsidR="00FD1C1F" w:rsidRDefault="00FD1C1F" w:rsidP="00EB4ACF">
      <w:pPr>
        <w:rPr>
          <w:b/>
          <w:lang w:val="en-US"/>
        </w:rPr>
      </w:pPr>
    </w:p>
    <w:p w:rsidR="00FD1C1F" w:rsidRDefault="00FD1C1F" w:rsidP="00EB4ACF">
      <w:pPr>
        <w:rPr>
          <w:b/>
          <w:lang w:val="en-US"/>
        </w:rPr>
      </w:pPr>
      <w:r>
        <w:rPr>
          <w:b/>
          <w:lang w:val="en-US"/>
        </w:rPr>
        <w:t xml:space="preserve">Observation 2: </w:t>
      </w:r>
      <w:r w:rsidR="0051118B">
        <w:rPr>
          <w:b/>
          <w:lang w:val="en-US"/>
        </w:rPr>
        <w:t xml:space="preserve">A SUL-configured UE has at least two available UL carriers, i.e. one is the UL carrier corresponding to the DL carrier frequency, and one is </w:t>
      </w:r>
      <w:r w:rsidR="00BF5BD3">
        <w:rPr>
          <w:b/>
          <w:lang w:val="en-US"/>
        </w:rPr>
        <w:t xml:space="preserve">the </w:t>
      </w:r>
      <w:r w:rsidR="0051118B">
        <w:rPr>
          <w:b/>
          <w:lang w:val="en-US"/>
        </w:rPr>
        <w:t>SUL carrier.</w:t>
      </w:r>
    </w:p>
    <w:p w:rsidR="0051118B" w:rsidRDefault="0051118B" w:rsidP="00EB4ACF">
      <w:pPr>
        <w:rPr>
          <w:lang w:val="en-US"/>
        </w:rPr>
      </w:pPr>
    </w:p>
    <w:p w:rsidR="00EB4ACF" w:rsidRDefault="00EB4ACF" w:rsidP="00EB4ACF">
      <w:pPr>
        <w:rPr>
          <w:b/>
          <w:lang w:val="en-US"/>
        </w:rPr>
      </w:pPr>
      <w:r w:rsidRPr="00EB4ACF">
        <w:rPr>
          <w:b/>
          <w:lang w:val="en-US"/>
        </w:rPr>
        <w:t>Proposal 1:</w:t>
      </w:r>
      <w:r w:rsidR="00D76064">
        <w:rPr>
          <w:b/>
          <w:lang w:val="en-US"/>
        </w:rPr>
        <w:t xml:space="preserve"> During initial access, UE apply </w:t>
      </w:r>
      <w:r w:rsidR="00112E23">
        <w:rPr>
          <w:b/>
          <w:lang w:val="en-US"/>
        </w:rPr>
        <w:t xml:space="preserve">a </w:t>
      </w:r>
      <w:r w:rsidR="00D76064">
        <w:rPr>
          <w:b/>
          <w:lang w:val="en-US"/>
        </w:rPr>
        <w:t xml:space="preserve">pathloss-based scheme to select UL frequency, </w:t>
      </w:r>
      <w:r w:rsidR="00935241">
        <w:rPr>
          <w:b/>
          <w:lang w:val="en-US"/>
        </w:rPr>
        <w:t>i.e</w:t>
      </w:r>
      <w:r w:rsidR="00D76064">
        <w:rPr>
          <w:b/>
          <w:lang w:val="en-US"/>
        </w:rPr>
        <w:t xml:space="preserve">., on either </w:t>
      </w:r>
      <w:r w:rsidR="0051118B">
        <w:rPr>
          <w:b/>
          <w:lang w:val="en-US"/>
        </w:rPr>
        <w:t xml:space="preserve">SUL or the UL carrier corresponding to DL carrier </w:t>
      </w:r>
      <w:r w:rsidR="001515E9">
        <w:rPr>
          <w:b/>
          <w:lang w:val="en-US"/>
        </w:rPr>
        <w:t>frequency</w:t>
      </w:r>
      <w:r w:rsidR="00D76064">
        <w:rPr>
          <w:b/>
          <w:lang w:val="en-US"/>
        </w:rPr>
        <w:t>.</w:t>
      </w:r>
    </w:p>
    <w:p w:rsidR="00867575" w:rsidRDefault="00867575" w:rsidP="00EB4ACF">
      <w:pPr>
        <w:rPr>
          <w:b/>
          <w:lang w:val="en-US"/>
        </w:rPr>
      </w:pPr>
    </w:p>
    <w:p w:rsidR="00BA70A5" w:rsidRPr="00BA70A5" w:rsidRDefault="00BA70A5" w:rsidP="00EB4ACF">
      <w:pPr>
        <w:rPr>
          <w:lang w:val="en-US"/>
        </w:rPr>
      </w:pPr>
      <w:r w:rsidRPr="00BA70A5">
        <w:rPr>
          <w:lang w:val="en-US"/>
        </w:rPr>
        <w:t xml:space="preserve">The next question is, </w:t>
      </w:r>
      <w:r w:rsidR="00FD5F88">
        <w:rPr>
          <w:lang w:val="en-US"/>
        </w:rPr>
        <w:t>whether</w:t>
      </w:r>
      <w:r w:rsidRPr="00BA70A5">
        <w:rPr>
          <w:lang w:val="en-US"/>
        </w:rPr>
        <w:t xml:space="preserve"> RACH sequence of SUL have preamble partitions as in LTE RACH. Our view is that if UE select SUL for coverage enhancement, it means that UE has larger pathloss, and thus there is no </w:t>
      </w:r>
      <w:r w:rsidR="005A722D">
        <w:rPr>
          <w:lang w:val="en-US"/>
        </w:rPr>
        <w:t>need</w:t>
      </w:r>
      <w:r w:rsidRPr="00BA70A5">
        <w:rPr>
          <w:lang w:val="en-US"/>
        </w:rPr>
        <w:t xml:space="preserve"> to </w:t>
      </w:r>
      <w:r w:rsidR="005A722D">
        <w:rPr>
          <w:lang w:val="en-US"/>
        </w:rPr>
        <w:t xml:space="preserve">further </w:t>
      </w:r>
      <w:r w:rsidRPr="00BA70A5">
        <w:rPr>
          <w:lang w:val="en-US"/>
        </w:rPr>
        <w:t xml:space="preserve">adopt preamble partition </w:t>
      </w:r>
      <w:r w:rsidR="00256BEA">
        <w:rPr>
          <w:lang w:val="en-US"/>
        </w:rPr>
        <w:t>to distinguish</w:t>
      </w:r>
      <w:r w:rsidRPr="00BA70A5">
        <w:rPr>
          <w:lang w:val="en-US"/>
        </w:rPr>
        <w:t xml:space="preserve"> pathloss. </w:t>
      </w:r>
    </w:p>
    <w:p w:rsidR="00BA70A5" w:rsidRDefault="00BA70A5" w:rsidP="00EB4ACF">
      <w:pPr>
        <w:rPr>
          <w:b/>
          <w:lang w:val="en-US"/>
        </w:rPr>
      </w:pPr>
    </w:p>
    <w:p w:rsidR="00E4105E" w:rsidRDefault="00E4105E" w:rsidP="00EB4ACF">
      <w:pPr>
        <w:rPr>
          <w:b/>
          <w:lang w:val="en-US"/>
        </w:rPr>
      </w:pPr>
      <w:r>
        <w:rPr>
          <w:b/>
          <w:lang w:val="en-US"/>
        </w:rPr>
        <w:t xml:space="preserve">Observation </w:t>
      </w:r>
      <w:r w:rsidR="00A21B75">
        <w:rPr>
          <w:b/>
          <w:lang w:val="en-US"/>
        </w:rPr>
        <w:t>3</w:t>
      </w:r>
      <w:r>
        <w:rPr>
          <w:b/>
          <w:lang w:val="en-US"/>
        </w:rPr>
        <w:t xml:space="preserve">: A UE applying SUL is </w:t>
      </w:r>
      <w:r w:rsidR="00BB6902">
        <w:rPr>
          <w:b/>
          <w:lang w:val="en-US"/>
        </w:rPr>
        <w:t>for</w:t>
      </w:r>
      <w:r>
        <w:rPr>
          <w:b/>
          <w:lang w:val="en-US"/>
        </w:rPr>
        <w:t xml:space="preserve"> UL coverage </w:t>
      </w:r>
      <w:r w:rsidR="00BB6902">
        <w:rPr>
          <w:b/>
          <w:lang w:val="en-US"/>
        </w:rPr>
        <w:t xml:space="preserve">extension, so there is no need to further divide preamble sequence </w:t>
      </w:r>
      <w:r w:rsidR="00486125">
        <w:rPr>
          <w:b/>
          <w:lang w:val="en-US"/>
        </w:rPr>
        <w:t>based on</w:t>
      </w:r>
      <w:r w:rsidR="00BB6902">
        <w:rPr>
          <w:b/>
          <w:lang w:val="en-US"/>
        </w:rPr>
        <w:t xml:space="preserve"> pathloss.</w:t>
      </w:r>
    </w:p>
    <w:p w:rsidR="00E4105E" w:rsidRDefault="00E4105E" w:rsidP="00EB4ACF">
      <w:pPr>
        <w:rPr>
          <w:b/>
          <w:lang w:val="en-US"/>
        </w:rPr>
      </w:pPr>
    </w:p>
    <w:p w:rsidR="00867575" w:rsidRDefault="00867575" w:rsidP="00EB4ACF">
      <w:pPr>
        <w:rPr>
          <w:b/>
          <w:lang w:val="en-US"/>
        </w:rPr>
      </w:pPr>
      <w:r>
        <w:rPr>
          <w:b/>
          <w:lang w:val="en-US"/>
        </w:rPr>
        <w:t xml:space="preserve">Proposal 2: For SUL, there is no need to </w:t>
      </w:r>
      <w:r w:rsidR="00345BCA">
        <w:rPr>
          <w:b/>
          <w:lang w:val="en-US"/>
        </w:rPr>
        <w:t>sepa</w:t>
      </w:r>
      <w:bookmarkStart w:id="0" w:name="_GoBack"/>
      <w:bookmarkEnd w:id="0"/>
      <w:r w:rsidR="00345BCA">
        <w:rPr>
          <w:b/>
          <w:lang w:val="en-US"/>
        </w:rPr>
        <w:t>rate</w:t>
      </w:r>
      <w:r>
        <w:rPr>
          <w:b/>
          <w:lang w:val="en-US"/>
        </w:rPr>
        <w:t xml:space="preserve"> preamble sequence </w:t>
      </w:r>
      <w:r w:rsidR="00E855EC">
        <w:rPr>
          <w:b/>
          <w:lang w:val="en-US"/>
        </w:rPr>
        <w:t xml:space="preserve">to distinguish </w:t>
      </w:r>
      <w:r w:rsidR="00345BCA">
        <w:rPr>
          <w:b/>
          <w:lang w:val="en-US"/>
        </w:rPr>
        <w:t xml:space="preserve">UE </w:t>
      </w:r>
      <w:r w:rsidR="00E855EC">
        <w:rPr>
          <w:b/>
          <w:lang w:val="en-US"/>
        </w:rPr>
        <w:t xml:space="preserve">pathloss as </w:t>
      </w:r>
      <w:r>
        <w:rPr>
          <w:b/>
          <w:lang w:val="en-US"/>
        </w:rPr>
        <w:t>in LTE</w:t>
      </w:r>
      <w:r w:rsidR="00E855EC">
        <w:rPr>
          <w:b/>
          <w:lang w:val="en-US"/>
        </w:rPr>
        <w:t>, i.e., group A and B</w:t>
      </w:r>
      <w:r>
        <w:rPr>
          <w:b/>
          <w:lang w:val="en-US"/>
        </w:rPr>
        <w:t>.</w:t>
      </w:r>
    </w:p>
    <w:p w:rsidR="00486125" w:rsidRDefault="00486125" w:rsidP="00EB4ACF">
      <w:pPr>
        <w:rPr>
          <w:b/>
          <w:lang w:val="en-US"/>
        </w:rPr>
      </w:pPr>
    </w:p>
    <w:p w:rsidR="00486125" w:rsidRDefault="00486125" w:rsidP="00486125">
      <w:pPr>
        <w:rPr>
          <w:b/>
          <w:lang w:val="en-US"/>
        </w:rPr>
      </w:pPr>
      <w:r w:rsidRPr="00486125">
        <w:rPr>
          <w:lang w:val="en-US"/>
        </w:rPr>
        <w:t xml:space="preserve">Further, to determine preamble transmission power, UE needs to know the pathloss based on RSRP measurement. However, in SUL </w:t>
      </w:r>
      <w:r w:rsidR="005A722D">
        <w:rPr>
          <w:lang w:val="en-US"/>
        </w:rPr>
        <w:t xml:space="preserve">frequency </w:t>
      </w:r>
      <w:r w:rsidRPr="00486125">
        <w:rPr>
          <w:lang w:val="en-US"/>
        </w:rPr>
        <w:t>there is no DL reference signal available for RSRP measurement.</w:t>
      </w:r>
      <w:r>
        <w:rPr>
          <w:lang w:val="en-US"/>
        </w:rPr>
        <w:t xml:space="preserve"> </w:t>
      </w:r>
      <w:r w:rsidRPr="00310DDC">
        <w:rPr>
          <w:lang w:val="en-US"/>
        </w:rPr>
        <w:t>Therefore, gNB should provide assistant information for UE to calculate the pathloss in SUL</w:t>
      </w:r>
      <w:r w:rsidR="002A497F">
        <w:rPr>
          <w:lang w:val="en-US"/>
        </w:rPr>
        <w:t xml:space="preserve"> frequency</w:t>
      </w:r>
      <w:r w:rsidRPr="00310DDC">
        <w:rPr>
          <w:lang w:val="en-US"/>
        </w:rPr>
        <w:t xml:space="preserve">. For example, UE keeps </w:t>
      </w:r>
      <w:r w:rsidR="002A497F">
        <w:rPr>
          <w:lang w:val="en-US"/>
        </w:rPr>
        <w:t xml:space="preserve">a </w:t>
      </w:r>
      <w:r w:rsidRPr="00310DDC">
        <w:rPr>
          <w:lang w:val="en-US"/>
        </w:rPr>
        <w:t xml:space="preserve">table </w:t>
      </w:r>
      <w:r w:rsidR="002A497F">
        <w:rPr>
          <w:lang w:val="en-US"/>
        </w:rPr>
        <w:t xml:space="preserve">for </w:t>
      </w:r>
      <w:r w:rsidRPr="00310DDC">
        <w:rPr>
          <w:lang w:val="en-US"/>
        </w:rPr>
        <w:t>the</w:t>
      </w:r>
      <w:r w:rsidR="002A497F">
        <w:rPr>
          <w:lang w:val="en-US"/>
        </w:rPr>
        <w:t xml:space="preserve"> pathloss of the SUL frequency given the pathloss on the DL carrier frequency. </w:t>
      </w:r>
      <w:r w:rsidRPr="00310DDC">
        <w:rPr>
          <w:lang w:val="en-US"/>
        </w:rPr>
        <w:t xml:space="preserve">Then based on the DL measurement results from high-frequency DL carrier, UE can </w:t>
      </w:r>
      <w:r>
        <w:rPr>
          <w:lang w:val="en-US"/>
        </w:rPr>
        <w:t>infer</w:t>
      </w:r>
      <w:r w:rsidRPr="00310DDC">
        <w:rPr>
          <w:lang w:val="en-US"/>
        </w:rPr>
        <w:t xml:space="preserve"> the pathloss in SUL band accordingly.</w:t>
      </w:r>
      <w:r>
        <w:rPr>
          <w:lang w:val="en-US"/>
        </w:rPr>
        <w:t xml:space="preserve"> </w:t>
      </w:r>
    </w:p>
    <w:p w:rsidR="00486125" w:rsidRDefault="00486125" w:rsidP="00486125">
      <w:pPr>
        <w:rPr>
          <w:b/>
          <w:lang w:val="en-US"/>
        </w:rPr>
      </w:pPr>
    </w:p>
    <w:p w:rsidR="00486125" w:rsidRDefault="00486125" w:rsidP="00EB4ACF">
      <w:pPr>
        <w:rPr>
          <w:b/>
          <w:lang w:val="en-US"/>
        </w:rPr>
      </w:pPr>
      <w:r>
        <w:rPr>
          <w:b/>
          <w:lang w:val="en-US"/>
        </w:rPr>
        <w:t>Proposal 3: Without DL reference signal in SUL, gNB provides assistant information for UE to estimate the pa</w:t>
      </w:r>
      <w:r w:rsidR="000F17E3">
        <w:rPr>
          <w:b/>
          <w:lang w:val="en-US"/>
        </w:rPr>
        <w:t>th</w:t>
      </w:r>
      <w:r>
        <w:rPr>
          <w:b/>
          <w:lang w:val="en-US"/>
        </w:rPr>
        <w:t>loss between UE and gNB in SUL frequency.</w:t>
      </w:r>
    </w:p>
    <w:p w:rsidR="00867575" w:rsidRDefault="00867575" w:rsidP="00EB4ACF">
      <w:pPr>
        <w:rPr>
          <w:b/>
          <w:lang w:val="en-US"/>
        </w:rPr>
      </w:pPr>
    </w:p>
    <w:p w:rsidR="00E4105E" w:rsidRPr="00BA70A5" w:rsidRDefault="00BA70A5" w:rsidP="00E4105E">
      <w:pPr>
        <w:rPr>
          <w:lang w:val="en-US"/>
        </w:rPr>
      </w:pPr>
      <w:r w:rsidRPr="00BA70A5">
        <w:rPr>
          <w:lang w:val="en-US"/>
        </w:rPr>
        <w:t>In LTE, f</w:t>
      </w:r>
      <w:r w:rsidR="00E4105E" w:rsidRPr="00BA70A5">
        <w:rPr>
          <w:lang w:val="en-US"/>
        </w:rPr>
        <w:t xml:space="preserve">or NB-IoT UEs, </w:t>
      </w:r>
      <w:r w:rsidR="00243641">
        <w:rPr>
          <w:lang w:val="en-US"/>
        </w:rPr>
        <w:t xml:space="preserve">carrier id is used to calculate the </w:t>
      </w:r>
      <w:r w:rsidR="00E4105E" w:rsidRPr="00BA70A5">
        <w:rPr>
          <w:lang w:val="en-US"/>
        </w:rPr>
        <w:t xml:space="preserve">RA-RNTI </w:t>
      </w:r>
      <w:r w:rsidR="00243641">
        <w:rPr>
          <w:lang w:val="en-US"/>
        </w:rPr>
        <w:t>of</w:t>
      </w:r>
      <w:r w:rsidR="00E4105E" w:rsidRPr="00BA70A5">
        <w:rPr>
          <w:lang w:val="en-US"/>
        </w:rPr>
        <w:t xml:space="preserve"> the PRACH in which the Random Access Preamble</w:t>
      </w:r>
      <w:r w:rsidRPr="00BA70A5">
        <w:rPr>
          <w:lang w:val="en-US"/>
        </w:rPr>
        <w:t xml:space="preserve"> is transmitted</w:t>
      </w:r>
      <w:r w:rsidR="00243641">
        <w:rPr>
          <w:lang w:val="en-US"/>
        </w:rPr>
        <w:t xml:space="preserve">, i.e. </w:t>
      </w:r>
    </w:p>
    <w:p w:rsidR="00E4105E" w:rsidRPr="00BA70A5" w:rsidRDefault="00E4105E" w:rsidP="00BA70A5">
      <w:pPr>
        <w:ind w:firstLine="720"/>
        <w:rPr>
          <w:lang w:val="en-US"/>
        </w:rPr>
      </w:pPr>
      <w:r w:rsidRPr="00BA70A5">
        <w:rPr>
          <w:lang w:val="en-US"/>
        </w:rPr>
        <w:t>RA-RNTI=1 + floor(SFN_id/4) + 256*carrier_id</w:t>
      </w:r>
    </w:p>
    <w:p w:rsidR="005B01CE" w:rsidRPr="00BA70A5" w:rsidRDefault="005B01CE" w:rsidP="00EB4ACF">
      <w:pPr>
        <w:rPr>
          <w:lang w:val="en-US"/>
        </w:rPr>
      </w:pPr>
      <w:r w:rsidRPr="00BA70A5">
        <w:rPr>
          <w:lang w:val="en-US"/>
        </w:rPr>
        <w:t xml:space="preserve">The advantage of associating RA-RNTI with carrier id is that each PRACH has a distinct RA-RNTI, and UE will not be confused about on which carrier the detected preamble is transmitted. </w:t>
      </w:r>
    </w:p>
    <w:p w:rsidR="005B01CE" w:rsidRPr="005B01CE" w:rsidRDefault="005B01CE" w:rsidP="00EB4ACF">
      <w:pPr>
        <w:rPr>
          <w:lang w:val="en-US"/>
        </w:rPr>
      </w:pPr>
    </w:p>
    <w:p w:rsidR="000B2FC1" w:rsidRPr="000B2FC1" w:rsidRDefault="00D06E16" w:rsidP="009E3E1E">
      <w:pPr>
        <w:rPr>
          <w:b/>
          <w:lang w:val="en-US"/>
        </w:rPr>
      </w:pPr>
      <w:r>
        <w:rPr>
          <w:b/>
          <w:lang w:val="en-US"/>
        </w:rPr>
        <w:t xml:space="preserve">Proposal </w:t>
      </w:r>
      <w:r w:rsidR="00486125">
        <w:rPr>
          <w:b/>
          <w:lang w:val="en-US"/>
        </w:rPr>
        <w:t>4</w:t>
      </w:r>
      <w:r w:rsidR="003F09AE">
        <w:rPr>
          <w:b/>
          <w:lang w:val="en-US"/>
        </w:rPr>
        <w:t>: Similar to the desi</w:t>
      </w:r>
      <w:r w:rsidR="009800D6">
        <w:rPr>
          <w:b/>
          <w:lang w:val="en-US"/>
        </w:rPr>
        <w:t xml:space="preserve">gn of NB-IoT, </w:t>
      </w:r>
      <w:r w:rsidR="003F09AE">
        <w:rPr>
          <w:b/>
          <w:lang w:val="en-US"/>
        </w:rPr>
        <w:t xml:space="preserve">carrier ID </w:t>
      </w:r>
      <w:r w:rsidR="005B2EA6">
        <w:rPr>
          <w:b/>
          <w:lang w:val="en-US"/>
        </w:rPr>
        <w:t>is applied to calculate</w:t>
      </w:r>
      <w:r w:rsidR="009800D6">
        <w:rPr>
          <w:b/>
          <w:lang w:val="en-US"/>
        </w:rPr>
        <w:t xml:space="preserve"> RA-RNTI</w:t>
      </w:r>
      <w:r w:rsidR="005B2EA6">
        <w:rPr>
          <w:b/>
          <w:lang w:val="en-US"/>
        </w:rPr>
        <w:t xml:space="preserve">, so as </w:t>
      </w:r>
      <w:r w:rsidR="009800D6">
        <w:rPr>
          <w:b/>
          <w:lang w:val="en-US"/>
        </w:rPr>
        <w:t xml:space="preserve">to distinguish </w:t>
      </w:r>
      <w:r w:rsidR="005B2EA6">
        <w:rPr>
          <w:b/>
          <w:lang w:val="en-US"/>
        </w:rPr>
        <w:t xml:space="preserve">the </w:t>
      </w:r>
      <w:r w:rsidR="009800D6">
        <w:rPr>
          <w:b/>
          <w:lang w:val="en-US"/>
        </w:rPr>
        <w:t xml:space="preserve">detected </w:t>
      </w:r>
      <w:r w:rsidR="005B2EA6">
        <w:rPr>
          <w:b/>
          <w:lang w:val="en-US"/>
        </w:rPr>
        <w:t>preamble</w:t>
      </w:r>
      <w:r w:rsidR="009800D6">
        <w:rPr>
          <w:b/>
          <w:lang w:val="en-US"/>
        </w:rPr>
        <w:t xml:space="preserve"> on different </w:t>
      </w:r>
      <w:r w:rsidR="00486125">
        <w:rPr>
          <w:b/>
          <w:lang w:val="en-US"/>
        </w:rPr>
        <w:t xml:space="preserve">UL </w:t>
      </w:r>
      <w:r w:rsidR="009800D6">
        <w:rPr>
          <w:b/>
          <w:lang w:val="en-US"/>
        </w:rPr>
        <w:t>carrier</w:t>
      </w:r>
      <w:r w:rsidR="00486125">
        <w:rPr>
          <w:b/>
          <w:lang w:val="en-US"/>
        </w:rPr>
        <w:t>s</w:t>
      </w:r>
      <w:r w:rsidR="009800D6">
        <w:rPr>
          <w:b/>
          <w:lang w:val="en-US"/>
        </w:rPr>
        <w:t>.</w:t>
      </w:r>
    </w:p>
    <w:p w:rsidR="00C03A26" w:rsidRPr="00DD0BEA" w:rsidRDefault="00C03A26" w:rsidP="00307C75">
      <w:pPr>
        <w:pStyle w:val="CRCoverPage"/>
        <w:spacing w:before="120"/>
        <w:jc w:val="both"/>
        <w:rPr>
          <w:b/>
          <w:lang w:val="en-US"/>
        </w:rPr>
      </w:pPr>
    </w:p>
    <w:p w:rsidR="00776935" w:rsidRPr="00AA3FA4" w:rsidRDefault="00A4193B" w:rsidP="00AC131F">
      <w:pPr>
        <w:rPr>
          <w:rFonts w:eastAsia="MS Mincho"/>
          <w:b/>
          <w:lang w:val="en-US" w:eastAsia="en-US"/>
        </w:rPr>
      </w:pPr>
      <w:r w:rsidRPr="00AA3FA4">
        <w:rPr>
          <w:rFonts w:eastAsia="MS Mincho"/>
          <w:b/>
          <w:lang w:val="en-US" w:eastAsia="en-US"/>
        </w:rPr>
        <w:t xml:space="preserve"> </w:t>
      </w: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012FAB" w:rsidRDefault="00642F89">
      <w:pPr>
        <w:rPr>
          <w:rFonts w:eastAsia="MS Mincho"/>
          <w:lang w:val="en-US" w:eastAsia="en-US"/>
        </w:rPr>
      </w:pPr>
      <w:r w:rsidRPr="00AA3FA4">
        <w:rPr>
          <w:rFonts w:eastAsia="MS Mincho"/>
          <w:lang w:val="en-US" w:eastAsia="en-US"/>
        </w:rPr>
        <w:t>Based on the observations:</w:t>
      </w:r>
    </w:p>
    <w:p w:rsidR="00A21B75" w:rsidRDefault="00A21B75" w:rsidP="00A21B75">
      <w:pPr>
        <w:rPr>
          <w:b/>
          <w:lang w:val="en-US"/>
        </w:rPr>
      </w:pPr>
      <w:r w:rsidRPr="00BC3E0F">
        <w:rPr>
          <w:b/>
          <w:lang w:val="en-US"/>
        </w:rPr>
        <w:lastRenderedPageBreak/>
        <w:t>Observation</w:t>
      </w:r>
      <w:r>
        <w:rPr>
          <w:b/>
          <w:lang w:val="en-US"/>
        </w:rPr>
        <w:t xml:space="preserve"> 1</w:t>
      </w:r>
      <w:r w:rsidRPr="00BC3E0F">
        <w:rPr>
          <w:b/>
          <w:lang w:val="en-US"/>
        </w:rPr>
        <w:t xml:space="preserve">: In NB-IoT, UE select </w:t>
      </w:r>
      <w:r>
        <w:rPr>
          <w:b/>
          <w:lang w:val="en-US"/>
        </w:rPr>
        <w:t xml:space="preserve">PRACH on one of available </w:t>
      </w:r>
      <w:r w:rsidRPr="00BC3E0F">
        <w:rPr>
          <w:b/>
          <w:lang w:val="en-US"/>
        </w:rPr>
        <w:t xml:space="preserve">carrier </w:t>
      </w:r>
      <w:r>
        <w:rPr>
          <w:b/>
          <w:lang w:val="en-US"/>
        </w:rPr>
        <w:t>based on</w:t>
      </w:r>
      <w:r w:rsidRPr="00BC3E0F">
        <w:rPr>
          <w:b/>
          <w:lang w:val="en-US"/>
        </w:rPr>
        <w:t xml:space="preserve"> RSRP measurement.</w:t>
      </w:r>
    </w:p>
    <w:p w:rsidR="00B060AA" w:rsidRDefault="00A21B75" w:rsidP="00B060AA">
      <w:pPr>
        <w:rPr>
          <w:lang w:val="en-US"/>
        </w:rPr>
      </w:pPr>
      <w:r>
        <w:rPr>
          <w:b/>
          <w:lang w:val="en-US"/>
        </w:rPr>
        <w:t>Observation 2: A SUL-configured UE has at least two available UL carriers, i.e. one is the UL carrier corresponding to the DL carrier frequency, and one is the SUL carrier.</w:t>
      </w:r>
    </w:p>
    <w:p w:rsidR="00B060AA" w:rsidRDefault="00B060AA" w:rsidP="00B060AA">
      <w:pPr>
        <w:rPr>
          <w:b/>
          <w:lang w:val="en-US"/>
        </w:rPr>
      </w:pPr>
      <w:r>
        <w:rPr>
          <w:b/>
          <w:lang w:val="en-US"/>
        </w:rPr>
        <w:t xml:space="preserve">Observation </w:t>
      </w:r>
      <w:r w:rsidR="00A21B75">
        <w:rPr>
          <w:b/>
          <w:lang w:val="en-US"/>
        </w:rPr>
        <w:t>3</w:t>
      </w:r>
      <w:r>
        <w:rPr>
          <w:b/>
          <w:lang w:val="en-US"/>
        </w:rPr>
        <w:t>: A UE applying SUL is for UL coverage extension, so there is no need to further divide preamble sequence based on pathloss.</w:t>
      </w:r>
    </w:p>
    <w:p w:rsidR="00B90954" w:rsidRDefault="00B90954">
      <w:pPr>
        <w:rPr>
          <w:rFonts w:eastAsia="MS Mincho"/>
          <w:lang w:val="en-US" w:eastAsia="en-US"/>
        </w:rPr>
      </w:pPr>
    </w:p>
    <w:p w:rsidR="00642F89" w:rsidRDefault="00642F89">
      <w:pPr>
        <w:rPr>
          <w:rFonts w:eastAsia="MS Mincho"/>
          <w:lang w:val="en-US" w:eastAsia="en-US"/>
        </w:rPr>
      </w:pPr>
      <w:r w:rsidRPr="00AA3FA4">
        <w:rPr>
          <w:rFonts w:eastAsia="MS Mincho"/>
          <w:lang w:val="en-US" w:eastAsia="en-US"/>
        </w:rPr>
        <w:t>We propose:</w:t>
      </w:r>
    </w:p>
    <w:p w:rsidR="00DD31E2" w:rsidRDefault="00DD31E2" w:rsidP="00DD31E2">
      <w:pPr>
        <w:rPr>
          <w:b/>
          <w:lang w:val="en-US"/>
        </w:rPr>
      </w:pPr>
      <w:r w:rsidRPr="00EB4ACF">
        <w:rPr>
          <w:b/>
          <w:lang w:val="en-US"/>
        </w:rPr>
        <w:t>Proposal 1:</w:t>
      </w:r>
      <w:r>
        <w:rPr>
          <w:b/>
          <w:lang w:val="en-US"/>
        </w:rPr>
        <w:t xml:space="preserve"> During initial access, UE apply a pathloss-based scheme to select UL frequency, i.e., on either SUL or the UL carrier corresponding to DL carrier frequency.</w:t>
      </w:r>
    </w:p>
    <w:p w:rsidR="00B060AA" w:rsidRDefault="00B060AA" w:rsidP="00B060AA">
      <w:pPr>
        <w:rPr>
          <w:b/>
          <w:lang w:val="en-US"/>
        </w:rPr>
      </w:pPr>
      <w:r>
        <w:rPr>
          <w:b/>
          <w:lang w:val="en-US"/>
        </w:rPr>
        <w:t>Proposal 2: For SUL, there is no need to separate preamble sequence to distinguish UE pathloss as in LTE, i.e., group A and B.</w:t>
      </w:r>
    </w:p>
    <w:p w:rsidR="00B060AA" w:rsidRDefault="00B060AA" w:rsidP="00B060AA">
      <w:pPr>
        <w:rPr>
          <w:b/>
          <w:lang w:val="en-US"/>
        </w:rPr>
      </w:pPr>
      <w:r>
        <w:rPr>
          <w:b/>
          <w:lang w:val="en-US"/>
        </w:rPr>
        <w:t>Proposal 3: Without DL reference signal in SUL, gNB provides assistant information for UE to estimate the pa</w:t>
      </w:r>
      <w:r w:rsidR="000F17E3">
        <w:rPr>
          <w:b/>
          <w:lang w:val="en-US"/>
        </w:rPr>
        <w:t>th</w:t>
      </w:r>
      <w:r>
        <w:rPr>
          <w:b/>
          <w:lang w:val="en-US"/>
        </w:rPr>
        <w:t>loss between UE and gNB in SUL frequency.</w:t>
      </w:r>
    </w:p>
    <w:p w:rsidR="00B060AA" w:rsidRPr="000B2FC1" w:rsidRDefault="00B060AA" w:rsidP="00B060AA">
      <w:pPr>
        <w:rPr>
          <w:b/>
          <w:lang w:val="en-US"/>
        </w:rPr>
      </w:pPr>
      <w:r>
        <w:rPr>
          <w:b/>
          <w:lang w:val="en-US"/>
        </w:rPr>
        <w:t>Proposal 4: Similar to the design of NB-IoT, carrier ID is applied to calculate RA-RNTI, so as to distinguish the detected preamble on different UL carriers.</w:t>
      </w:r>
    </w:p>
    <w:p w:rsidR="00B90954" w:rsidRPr="00AA3FA4" w:rsidRDefault="00B90954">
      <w:pPr>
        <w:rPr>
          <w:rFonts w:eastAsia="MS Mincho"/>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rsidR="00642F89" w:rsidRDefault="00642F89" w:rsidP="00395162">
      <w:pPr>
        <w:pStyle w:val="2222"/>
        <w:numPr>
          <w:ilvl w:val="0"/>
          <w:numId w:val="12"/>
        </w:numPr>
        <w:spacing w:after="120" w:line="288" w:lineRule="auto"/>
        <w:ind w:left="284" w:firstLineChars="0" w:hanging="284"/>
        <w:rPr>
          <w:rFonts w:ascii="Arial" w:hAnsi="Arial" w:cs="Arial"/>
          <w:lang w:val="en-US" w:eastAsia="ko-KR"/>
        </w:rPr>
      </w:pPr>
      <w:bookmarkStart w:id="1" w:name="_Ref490058590"/>
      <w:r w:rsidRPr="00AA3FA4">
        <w:rPr>
          <w:rFonts w:ascii="Arial" w:hAnsi="Arial" w:cs="Arial"/>
          <w:lang w:val="en-US" w:eastAsia="ko-KR"/>
        </w:rPr>
        <w:t>3GPP</w:t>
      </w:r>
      <w:r w:rsidRPr="00AA3FA4">
        <w:rPr>
          <w:rFonts w:ascii="Arial" w:eastAsiaTheme="minorEastAsia" w:hAnsi="Arial" w:cs="Arial" w:hint="eastAsia"/>
          <w:lang w:val="en-US" w:eastAsia="zh-CN"/>
        </w:rPr>
        <w:t>,</w:t>
      </w:r>
      <w:r w:rsidRPr="00AA3FA4">
        <w:rPr>
          <w:rFonts w:ascii="Arial" w:hAnsi="Arial" w:cs="Arial"/>
          <w:lang w:val="en-US" w:eastAsia="ko-KR"/>
        </w:rPr>
        <w:t>RAN</w:t>
      </w:r>
      <w:r w:rsidR="006841D6">
        <w:rPr>
          <w:rFonts w:ascii="Arial" w:hAnsi="Arial" w:cs="Arial"/>
          <w:lang w:val="en-US" w:eastAsia="ko-KR"/>
        </w:rPr>
        <w:t>1</w:t>
      </w:r>
      <w:r w:rsidR="008F3CB4">
        <w:rPr>
          <w:rFonts w:ascii="Arial" w:hAnsi="Arial" w:cs="Arial"/>
          <w:lang w:val="en-US" w:eastAsia="ko-KR"/>
        </w:rPr>
        <w:t>#</w:t>
      </w:r>
      <w:r w:rsidR="006841D6">
        <w:rPr>
          <w:rFonts w:ascii="Arial" w:hAnsi="Arial" w:cs="Arial"/>
          <w:lang w:val="en-US" w:eastAsia="ko-KR"/>
        </w:rPr>
        <w:t>89</w:t>
      </w:r>
      <w:r w:rsidR="008F3CB4">
        <w:rPr>
          <w:rFonts w:ascii="Arial" w:hAnsi="Arial" w:cs="Arial"/>
          <w:lang w:val="en-US" w:eastAsia="ko-KR"/>
        </w:rPr>
        <w:t xml:space="preserve"> Chainman Notes</w:t>
      </w:r>
      <w:bookmarkEnd w:id="1"/>
    </w:p>
    <w:p w:rsidR="00A45AB2" w:rsidRPr="00A45AB2" w:rsidRDefault="00A45AB2" w:rsidP="0019330D">
      <w:pPr>
        <w:pStyle w:val="2222"/>
        <w:numPr>
          <w:ilvl w:val="0"/>
          <w:numId w:val="12"/>
        </w:numPr>
        <w:spacing w:after="120" w:line="288" w:lineRule="auto"/>
        <w:ind w:left="284" w:firstLineChars="0" w:hanging="284"/>
        <w:rPr>
          <w:rFonts w:ascii="Arial" w:hAnsi="Arial" w:cs="Arial"/>
          <w:lang w:val="en-US" w:eastAsia="ko-KR"/>
        </w:rPr>
      </w:pPr>
      <w:bookmarkStart w:id="2" w:name="_Ref489920020"/>
      <w:r w:rsidRPr="00A45AB2">
        <w:rPr>
          <w:rFonts w:ascii="Arial" w:hAnsi="Arial" w:cs="Arial"/>
          <w:lang w:val="en-US" w:eastAsia="ko-KR"/>
        </w:rPr>
        <w:t>R1-1709843, LS on the support of supplementary uplink in NR, CMCC</w:t>
      </w:r>
      <w:bookmarkEnd w:id="2"/>
    </w:p>
    <w:p w:rsidR="00080BE8" w:rsidRPr="00080BE8" w:rsidRDefault="00080BE8" w:rsidP="00395162">
      <w:pPr>
        <w:pStyle w:val="2222"/>
        <w:numPr>
          <w:ilvl w:val="0"/>
          <w:numId w:val="12"/>
        </w:numPr>
        <w:spacing w:after="120" w:line="288" w:lineRule="auto"/>
        <w:ind w:left="284" w:firstLineChars="0" w:hanging="284"/>
        <w:rPr>
          <w:rFonts w:ascii="Arial" w:hAnsi="Arial" w:cs="Arial"/>
          <w:lang w:val="en-US" w:eastAsia="ko-KR"/>
        </w:rPr>
      </w:pPr>
      <w:bookmarkStart w:id="3" w:name="_Ref489343465"/>
      <w:r w:rsidRPr="00080BE8">
        <w:rPr>
          <w:rFonts w:ascii="Arial" w:hAnsi="Arial" w:cs="Arial"/>
          <w:bCs/>
          <w:lang w:eastAsia="ko-KR"/>
        </w:rPr>
        <w:t>R1-1708403</w:t>
      </w:r>
      <w:r>
        <w:rPr>
          <w:rFonts w:ascii="Arial" w:hAnsi="Arial" w:cs="Arial"/>
          <w:bCs/>
          <w:lang w:eastAsia="ko-KR"/>
        </w:rPr>
        <w:t xml:space="preserve">, </w:t>
      </w:r>
      <w:r w:rsidRPr="00080BE8">
        <w:rPr>
          <w:rFonts w:ascii="Arial" w:hAnsi="Arial" w:cs="Arial"/>
          <w:bCs/>
          <w:lang w:eastAsia="ko-KR"/>
        </w:rPr>
        <w:t>Supplementary Uplink for UL Coverage Extension, CMCC</w:t>
      </w:r>
      <w:bookmarkEnd w:id="3"/>
    </w:p>
    <w:sectPr w:rsidR="00080BE8" w:rsidRPr="00080B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D9A" w:rsidRDefault="00C83D9A" w:rsidP="003B1415">
      <w:pPr>
        <w:spacing w:after="0"/>
      </w:pPr>
      <w:r>
        <w:separator/>
      </w:r>
    </w:p>
  </w:endnote>
  <w:endnote w:type="continuationSeparator" w:id="0">
    <w:p w:rsidR="00C83D9A" w:rsidRDefault="00C83D9A"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D9A" w:rsidRDefault="00C83D9A" w:rsidP="003B1415">
      <w:pPr>
        <w:spacing w:after="0"/>
      </w:pPr>
      <w:r>
        <w:separator/>
      </w:r>
    </w:p>
  </w:footnote>
  <w:footnote w:type="continuationSeparator" w:id="0">
    <w:p w:rsidR="00C83D9A" w:rsidRDefault="00C83D9A"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017AE"/>
    <w:multiLevelType w:val="hybridMultilevel"/>
    <w:tmpl w:val="264C74F0"/>
    <w:lvl w:ilvl="0" w:tplc="7D1AC8FC">
      <w:start w:val="1"/>
      <w:numFmt w:val="bullet"/>
      <w:lvlText w:val="▪"/>
      <w:lvlJc w:val="left"/>
      <w:pPr>
        <w:tabs>
          <w:tab w:val="num" w:pos="720"/>
        </w:tabs>
        <w:ind w:left="720" w:hanging="360"/>
      </w:pPr>
      <w:rPr>
        <w:rFonts w:ascii="Lucida Grande" w:hAnsi="Lucida Grande" w:hint="default"/>
      </w:rPr>
    </w:lvl>
    <w:lvl w:ilvl="1" w:tplc="FD0C8208">
      <w:start w:val="1"/>
      <w:numFmt w:val="decimal"/>
      <w:lvlText w:val="%2."/>
      <w:lvlJc w:val="left"/>
      <w:pPr>
        <w:tabs>
          <w:tab w:val="num" w:pos="1440"/>
        </w:tabs>
        <w:ind w:left="1440" w:hanging="360"/>
      </w:pPr>
    </w:lvl>
    <w:lvl w:ilvl="2" w:tplc="F40C1DEA">
      <w:start w:val="30"/>
      <w:numFmt w:val="bullet"/>
      <w:lvlText w:val="▪"/>
      <w:lvlJc w:val="left"/>
      <w:pPr>
        <w:tabs>
          <w:tab w:val="num" w:pos="2160"/>
        </w:tabs>
        <w:ind w:left="2160" w:hanging="360"/>
      </w:pPr>
      <w:rPr>
        <w:rFonts w:ascii="Lucida Grande" w:hAnsi="Lucida Grande" w:hint="default"/>
      </w:rPr>
    </w:lvl>
    <w:lvl w:ilvl="3" w:tplc="DDA0E9AE" w:tentative="1">
      <w:start w:val="1"/>
      <w:numFmt w:val="bullet"/>
      <w:lvlText w:val="▪"/>
      <w:lvlJc w:val="left"/>
      <w:pPr>
        <w:tabs>
          <w:tab w:val="num" w:pos="2880"/>
        </w:tabs>
        <w:ind w:left="2880" w:hanging="360"/>
      </w:pPr>
      <w:rPr>
        <w:rFonts w:ascii="Lucida Grande" w:hAnsi="Lucida Grande" w:hint="default"/>
      </w:rPr>
    </w:lvl>
    <w:lvl w:ilvl="4" w:tplc="69EAB764" w:tentative="1">
      <w:start w:val="1"/>
      <w:numFmt w:val="bullet"/>
      <w:lvlText w:val="▪"/>
      <w:lvlJc w:val="left"/>
      <w:pPr>
        <w:tabs>
          <w:tab w:val="num" w:pos="3600"/>
        </w:tabs>
        <w:ind w:left="3600" w:hanging="360"/>
      </w:pPr>
      <w:rPr>
        <w:rFonts w:ascii="Lucida Grande" w:hAnsi="Lucida Grande" w:hint="default"/>
      </w:rPr>
    </w:lvl>
    <w:lvl w:ilvl="5" w:tplc="F620E8C8" w:tentative="1">
      <w:start w:val="1"/>
      <w:numFmt w:val="bullet"/>
      <w:lvlText w:val="▪"/>
      <w:lvlJc w:val="left"/>
      <w:pPr>
        <w:tabs>
          <w:tab w:val="num" w:pos="4320"/>
        </w:tabs>
        <w:ind w:left="4320" w:hanging="360"/>
      </w:pPr>
      <w:rPr>
        <w:rFonts w:ascii="Lucida Grande" w:hAnsi="Lucida Grande" w:hint="default"/>
      </w:rPr>
    </w:lvl>
    <w:lvl w:ilvl="6" w:tplc="D80CF07E" w:tentative="1">
      <w:start w:val="1"/>
      <w:numFmt w:val="bullet"/>
      <w:lvlText w:val="▪"/>
      <w:lvlJc w:val="left"/>
      <w:pPr>
        <w:tabs>
          <w:tab w:val="num" w:pos="5040"/>
        </w:tabs>
        <w:ind w:left="5040" w:hanging="360"/>
      </w:pPr>
      <w:rPr>
        <w:rFonts w:ascii="Lucida Grande" w:hAnsi="Lucida Grande" w:hint="default"/>
      </w:rPr>
    </w:lvl>
    <w:lvl w:ilvl="7" w:tplc="D8BAEEE4" w:tentative="1">
      <w:start w:val="1"/>
      <w:numFmt w:val="bullet"/>
      <w:lvlText w:val="▪"/>
      <w:lvlJc w:val="left"/>
      <w:pPr>
        <w:tabs>
          <w:tab w:val="num" w:pos="5760"/>
        </w:tabs>
        <w:ind w:left="5760" w:hanging="360"/>
      </w:pPr>
      <w:rPr>
        <w:rFonts w:ascii="Lucida Grande" w:hAnsi="Lucida Grande" w:hint="default"/>
      </w:rPr>
    </w:lvl>
    <w:lvl w:ilvl="8" w:tplc="49C46690"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211B4453"/>
    <w:multiLevelType w:val="hybridMultilevel"/>
    <w:tmpl w:val="AC42F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3" w15:restartNumberingAfterBreak="0">
    <w:nsid w:val="49602FDD"/>
    <w:multiLevelType w:val="hybridMultilevel"/>
    <w:tmpl w:val="80B04CBE"/>
    <w:lvl w:ilvl="0" w:tplc="77628486">
      <w:start w:val="2"/>
      <w:numFmt w:val="bullet"/>
      <w:lvlText w:val="-"/>
      <w:lvlJc w:val="left"/>
      <w:pPr>
        <w:ind w:left="720" w:hanging="360"/>
      </w:pPr>
      <w:rPr>
        <w:rFonts w:ascii="Arial" w:eastAsia="新細明體"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CB5F06"/>
    <w:multiLevelType w:val="hybridMultilevel"/>
    <w:tmpl w:val="62861478"/>
    <w:lvl w:ilvl="0" w:tplc="2766D0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72B31005"/>
    <w:multiLevelType w:val="hybridMultilevel"/>
    <w:tmpl w:val="0CA435B2"/>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7"/>
  </w:num>
  <w:num w:numId="3">
    <w:abstractNumId w:val="8"/>
  </w:num>
  <w:num w:numId="4">
    <w:abstractNumId w:val="6"/>
  </w:num>
  <w:num w:numId="5">
    <w:abstractNumId w:val="18"/>
  </w:num>
  <w:num w:numId="6">
    <w:abstractNumId w:val="10"/>
  </w:num>
  <w:num w:numId="7">
    <w:abstractNumId w:val="4"/>
  </w:num>
  <w:num w:numId="8">
    <w:abstractNumId w:val="11"/>
  </w:num>
  <w:num w:numId="9">
    <w:abstractNumId w:val="12"/>
  </w:num>
  <w:num w:numId="10">
    <w:abstractNumId w:val="16"/>
  </w:num>
  <w:num w:numId="11">
    <w:abstractNumId w:val="3"/>
  </w:num>
  <w:num w:numId="12">
    <w:abstractNumId w:val="2"/>
  </w:num>
  <w:num w:numId="13">
    <w:abstractNumId w:val="9"/>
  </w:num>
  <w:num w:numId="14">
    <w:abstractNumId w:val="14"/>
  </w:num>
  <w:num w:numId="15">
    <w:abstractNumId w:val="17"/>
  </w:num>
  <w:num w:numId="16">
    <w:abstractNumId w:val="1"/>
  </w:num>
  <w:num w:numId="17">
    <w:abstractNumId w:val="15"/>
  </w:num>
  <w:num w:numId="18">
    <w:abstractNumId w:val="5"/>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12FAB"/>
    <w:rsid w:val="00013206"/>
    <w:rsid w:val="00013978"/>
    <w:rsid w:val="0002470C"/>
    <w:rsid w:val="000606C2"/>
    <w:rsid w:val="00080BE8"/>
    <w:rsid w:val="00082376"/>
    <w:rsid w:val="000934EA"/>
    <w:rsid w:val="000B2FC1"/>
    <w:rsid w:val="000D322D"/>
    <w:rsid w:val="000E6946"/>
    <w:rsid w:val="000F17E3"/>
    <w:rsid w:val="000F3688"/>
    <w:rsid w:val="0010354E"/>
    <w:rsid w:val="00112E23"/>
    <w:rsid w:val="001268C8"/>
    <w:rsid w:val="00150B17"/>
    <w:rsid w:val="001515E9"/>
    <w:rsid w:val="001722FE"/>
    <w:rsid w:val="001C3FA2"/>
    <w:rsid w:val="001D6B88"/>
    <w:rsid w:val="001E585F"/>
    <w:rsid w:val="001E6F77"/>
    <w:rsid w:val="001F75A2"/>
    <w:rsid w:val="00206659"/>
    <w:rsid w:val="00222635"/>
    <w:rsid w:val="002342F1"/>
    <w:rsid w:val="00243604"/>
    <w:rsid w:val="00243641"/>
    <w:rsid w:val="00254CE6"/>
    <w:rsid w:val="00256BEA"/>
    <w:rsid w:val="002A497F"/>
    <w:rsid w:val="002C5B24"/>
    <w:rsid w:val="002E5A4A"/>
    <w:rsid w:val="002F3FF4"/>
    <w:rsid w:val="002F78CC"/>
    <w:rsid w:val="00307606"/>
    <w:rsid w:val="00307C75"/>
    <w:rsid w:val="00307FB5"/>
    <w:rsid w:val="00310DDC"/>
    <w:rsid w:val="003139B4"/>
    <w:rsid w:val="00333ACF"/>
    <w:rsid w:val="003412E9"/>
    <w:rsid w:val="00345BCA"/>
    <w:rsid w:val="00362287"/>
    <w:rsid w:val="00395162"/>
    <w:rsid w:val="003B102E"/>
    <w:rsid w:val="003B1415"/>
    <w:rsid w:val="003C1164"/>
    <w:rsid w:val="003C21D7"/>
    <w:rsid w:val="003F09AE"/>
    <w:rsid w:val="00426951"/>
    <w:rsid w:val="004276CA"/>
    <w:rsid w:val="00430638"/>
    <w:rsid w:val="00457C69"/>
    <w:rsid w:val="00486125"/>
    <w:rsid w:val="0049354A"/>
    <w:rsid w:val="00494B4C"/>
    <w:rsid w:val="00510AF8"/>
    <w:rsid w:val="0051118B"/>
    <w:rsid w:val="005613B4"/>
    <w:rsid w:val="00580534"/>
    <w:rsid w:val="0058136F"/>
    <w:rsid w:val="00590845"/>
    <w:rsid w:val="0059273A"/>
    <w:rsid w:val="005A0558"/>
    <w:rsid w:val="005A722D"/>
    <w:rsid w:val="005B01CE"/>
    <w:rsid w:val="005B2EA6"/>
    <w:rsid w:val="005C2ACE"/>
    <w:rsid w:val="005F2932"/>
    <w:rsid w:val="005F2EEC"/>
    <w:rsid w:val="006069E2"/>
    <w:rsid w:val="0062332B"/>
    <w:rsid w:val="006333E2"/>
    <w:rsid w:val="00642F89"/>
    <w:rsid w:val="00646ED2"/>
    <w:rsid w:val="0067001D"/>
    <w:rsid w:val="006841D6"/>
    <w:rsid w:val="0068746C"/>
    <w:rsid w:val="006B0A48"/>
    <w:rsid w:val="006B0B15"/>
    <w:rsid w:val="006C04AB"/>
    <w:rsid w:val="006C68BA"/>
    <w:rsid w:val="006D07C4"/>
    <w:rsid w:val="006D60C4"/>
    <w:rsid w:val="006E6A59"/>
    <w:rsid w:val="006F0204"/>
    <w:rsid w:val="00726A6E"/>
    <w:rsid w:val="007328A4"/>
    <w:rsid w:val="00767AFC"/>
    <w:rsid w:val="007735E4"/>
    <w:rsid w:val="00775D3D"/>
    <w:rsid w:val="00776935"/>
    <w:rsid w:val="00794E02"/>
    <w:rsid w:val="007A04B8"/>
    <w:rsid w:val="007A34A2"/>
    <w:rsid w:val="007D1769"/>
    <w:rsid w:val="007E2BD9"/>
    <w:rsid w:val="007F2D17"/>
    <w:rsid w:val="0081466C"/>
    <w:rsid w:val="00832FDD"/>
    <w:rsid w:val="008378EF"/>
    <w:rsid w:val="00861035"/>
    <w:rsid w:val="00862C95"/>
    <w:rsid w:val="00863C0C"/>
    <w:rsid w:val="00867575"/>
    <w:rsid w:val="00875AA2"/>
    <w:rsid w:val="0087601C"/>
    <w:rsid w:val="008B49E2"/>
    <w:rsid w:val="008F3CB4"/>
    <w:rsid w:val="008F4091"/>
    <w:rsid w:val="009015AA"/>
    <w:rsid w:val="009174AD"/>
    <w:rsid w:val="00922AAB"/>
    <w:rsid w:val="00935241"/>
    <w:rsid w:val="0093720A"/>
    <w:rsid w:val="00955724"/>
    <w:rsid w:val="00960672"/>
    <w:rsid w:val="009800D6"/>
    <w:rsid w:val="00992D0B"/>
    <w:rsid w:val="009C3698"/>
    <w:rsid w:val="009E3081"/>
    <w:rsid w:val="009E3E1E"/>
    <w:rsid w:val="009E4454"/>
    <w:rsid w:val="009F44E1"/>
    <w:rsid w:val="00A02E3B"/>
    <w:rsid w:val="00A07140"/>
    <w:rsid w:val="00A21B75"/>
    <w:rsid w:val="00A301B4"/>
    <w:rsid w:val="00A4193B"/>
    <w:rsid w:val="00A45AB2"/>
    <w:rsid w:val="00A95FF4"/>
    <w:rsid w:val="00AA08E4"/>
    <w:rsid w:val="00AA21BE"/>
    <w:rsid w:val="00AA3FA4"/>
    <w:rsid w:val="00AC131F"/>
    <w:rsid w:val="00AC3ADE"/>
    <w:rsid w:val="00AC7F39"/>
    <w:rsid w:val="00AD3B15"/>
    <w:rsid w:val="00AE2998"/>
    <w:rsid w:val="00AF2887"/>
    <w:rsid w:val="00B060AA"/>
    <w:rsid w:val="00B149C8"/>
    <w:rsid w:val="00B14EE4"/>
    <w:rsid w:val="00B211B9"/>
    <w:rsid w:val="00B3317B"/>
    <w:rsid w:val="00B55EE3"/>
    <w:rsid w:val="00B86982"/>
    <w:rsid w:val="00B90954"/>
    <w:rsid w:val="00B928E7"/>
    <w:rsid w:val="00B92BBC"/>
    <w:rsid w:val="00BA70A5"/>
    <w:rsid w:val="00BB6902"/>
    <w:rsid w:val="00BB6E51"/>
    <w:rsid w:val="00BC1400"/>
    <w:rsid w:val="00BC3E0F"/>
    <w:rsid w:val="00BD02C3"/>
    <w:rsid w:val="00BD4BAC"/>
    <w:rsid w:val="00BF5BD3"/>
    <w:rsid w:val="00BF7402"/>
    <w:rsid w:val="00C03A26"/>
    <w:rsid w:val="00C55465"/>
    <w:rsid w:val="00C62831"/>
    <w:rsid w:val="00C70EB6"/>
    <w:rsid w:val="00C758E4"/>
    <w:rsid w:val="00C8114D"/>
    <w:rsid w:val="00C83D9A"/>
    <w:rsid w:val="00CC6586"/>
    <w:rsid w:val="00CE6C5E"/>
    <w:rsid w:val="00D0386B"/>
    <w:rsid w:val="00D0687D"/>
    <w:rsid w:val="00D06E16"/>
    <w:rsid w:val="00D203E8"/>
    <w:rsid w:val="00D41A99"/>
    <w:rsid w:val="00D45384"/>
    <w:rsid w:val="00D555AD"/>
    <w:rsid w:val="00D55BDD"/>
    <w:rsid w:val="00D7404D"/>
    <w:rsid w:val="00D76064"/>
    <w:rsid w:val="00DD0BEA"/>
    <w:rsid w:val="00DD31E2"/>
    <w:rsid w:val="00DF3A8E"/>
    <w:rsid w:val="00DF7B9B"/>
    <w:rsid w:val="00E4105E"/>
    <w:rsid w:val="00E855EC"/>
    <w:rsid w:val="00EA2FD9"/>
    <w:rsid w:val="00EB0FA5"/>
    <w:rsid w:val="00EB4ACF"/>
    <w:rsid w:val="00EC4820"/>
    <w:rsid w:val="00ED1C20"/>
    <w:rsid w:val="00ED317F"/>
    <w:rsid w:val="00ED71A7"/>
    <w:rsid w:val="00EF1470"/>
    <w:rsid w:val="00EF6727"/>
    <w:rsid w:val="00EF6AF8"/>
    <w:rsid w:val="00F03AB0"/>
    <w:rsid w:val="00F45138"/>
    <w:rsid w:val="00F938FC"/>
    <w:rsid w:val="00FA30A4"/>
    <w:rsid w:val="00FC1057"/>
    <w:rsid w:val="00FD1C1F"/>
    <w:rsid w:val="00FD5F88"/>
    <w:rsid w:val="00FF681B"/>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paragraph" w:customStyle="1" w:styleId="h1">
    <w:name w:val="h1"/>
    <w:basedOn w:val="Normal"/>
    <w:rsid w:val="000606C2"/>
    <w:pPr>
      <w:overflowPunct/>
      <w:autoSpaceDE/>
      <w:autoSpaceDN/>
      <w:adjustRightInd/>
      <w:spacing w:after="0"/>
      <w:ind w:left="1440" w:hanging="1440"/>
      <w:jc w:val="left"/>
      <w:textAlignment w:val="auto"/>
    </w:pPr>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41386645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349210517">
      <w:bodyDiv w:val="1"/>
      <w:marLeft w:val="0"/>
      <w:marRight w:val="0"/>
      <w:marTop w:val="0"/>
      <w:marBottom w:val="0"/>
      <w:divBdr>
        <w:top w:val="none" w:sz="0" w:space="0" w:color="auto"/>
        <w:left w:val="none" w:sz="0" w:space="0" w:color="auto"/>
        <w:bottom w:val="none" w:sz="0" w:space="0" w:color="auto"/>
        <w:right w:val="none" w:sz="0" w:space="0" w:color="auto"/>
      </w:divBdr>
    </w:div>
    <w:div w:id="1402293098">
      <w:bodyDiv w:val="1"/>
      <w:marLeft w:val="0"/>
      <w:marRight w:val="0"/>
      <w:marTop w:val="0"/>
      <w:marBottom w:val="0"/>
      <w:divBdr>
        <w:top w:val="none" w:sz="0" w:space="0" w:color="auto"/>
        <w:left w:val="none" w:sz="0" w:space="0" w:color="auto"/>
        <w:bottom w:val="none" w:sz="0" w:space="0" w:color="auto"/>
        <w:right w:val="none" w:sz="0" w:space="0" w:color="auto"/>
      </w:divBdr>
    </w:div>
    <w:div w:id="1402481229">
      <w:bodyDiv w:val="1"/>
      <w:marLeft w:val="0"/>
      <w:marRight w:val="0"/>
      <w:marTop w:val="0"/>
      <w:marBottom w:val="0"/>
      <w:divBdr>
        <w:top w:val="none" w:sz="0" w:space="0" w:color="auto"/>
        <w:left w:val="none" w:sz="0" w:space="0" w:color="auto"/>
        <w:bottom w:val="none" w:sz="0" w:space="0" w:color="auto"/>
        <w:right w:val="none" w:sz="0" w:space="0" w:color="auto"/>
      </w:divBdr>
      <w:divsChild>
        <w:div w:id="1310206413">
          <w:marLeft w:val="547"/>
          <w:marRight w:val="0"/>
          <w:marTop w:val="86"/>
          <w:marBottom w:val="0"/>
          <w:divBdr>
            <w:top w:val="none" w:sz="0" w:space="0" w:color="auto"/>
            <w:left w:val="none" w:sz="0" w:space="0" w:color="auto"/>
            <w:bottom w:val="none" w:sz="0" w:space="0" w:color="auto"/>
            <w:right w:val="none" w:sz="0" w:space="0" w:color="auto"/>
          </w:divBdr>
        </w:div>
        <w:div w:id="331300637">
          <w:marLeft w:val="547"/>
          <w:marRight w:val="0"/>
          <w:marTop w:val="8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74270122">
      <w:bodyDiv w:val="1"/>
      <w:marLeft w:val="0"/>
      <w:marRight w:val="0"/>
      <w:marTop w:val="0"/>
      <w:marBottom w:val="0"/>
      <w:divBdr>
        <w:top w:val="none" w:sz="0" w:space="0" w:color="auto"/>
        <w:left w:val="none" w:sz="0" w:space="0" w:color="auto"/>
        <w:bottom w:val="none" w:sz="0" w:space="0" w:color="auto"/>
        <w:right w:val="none" w:sz="0" w:space="0" w:color="auto"/>
      </w:divBdr>
      <w:divsChild>
        <w:div w:id="1823540527">
          <w:marLeft w:val="547"/>
          <w:marRight w:val="0"/>
          <w:marTop w:val="96"/>
          <w:marBottom w:val="0"/>
          <w:divBdr>
            <w:top w:val="none" w:sz="0" w:space="0" w:color="auto"/>
            <w:left w:val="none" w:sz="0" w:space="0" w:color="auto"/>
            <w:bottom w:val="none" w:sz="0" w:space="0" w:color="auto"/>
            <w:right w:val="none" w:sz="0" w:space="0" w:color="auto"/>
          </w:divBdr>
        </w:div>
        <w:div w:id="1338649661">
          <w:marLeft w:val="1440"/>
          <w:marRight w:val="0"/>
          <w:marTop w:val="82"/>
          <w:marBottom w:val="0"/>
          <w:divBdr>
            <w:top w:val="none" w:sz="0" w:space="0" w:color="auto"/>
            <w:left w:val="none" w:sz="0" w:space="0" w:color="auto"/>
            <w:bottom w:val="none" w:sz="0" w:space="0" w:color="auto"/>
            <w:right w:val="none" w:sz="0" w:space="0" w:color="auto"/>
          </w:divBdr>
        </w:div>
        <w:div w:id="323709717">
          <w:marLeft w:val="1800"/>
          <w:marRight w:val="0"/>
          <w:marTop w:val="67"/>
          <w:marBottom w:val="0"/>
          <w:divBdr>
            <w:top w:val="none" w:sz="0" w:space="0" w:color="auto"/>
            <w:left w:val="none" w:sz="0" w:space="0" w:color="auto"/>
            <w:bottom w:val="none" w:sz="0" w:space="0" w:color="auto"/>
            <w:right w:val="none" w:sz="0" w:space="0" w:color="auto"/>
          </w:divBdr>
        </w:div>
        <w:div w:id="1496526842">
          <w:marLeft w:val="1440"/>
          <w:marRight w:val="0"/>
          <w:marTop w:val="82"/>
          <w:marBottom w:val="0"/>
          <w:divBdr>
            <w:top w:val="none" w:sz="0" w:space="0" w:color="auto"/>
            <w:left w:val="none" w:sz="0" w:space="0" w:color="auto"/>
            <w:bottom w:val="none" w:sz="0" w:space="0" w:color="auto"/>
            <w:right w:val="none" w:sz="0" w:space="0" w:color="auto"/>
          </w:divBdr>
        </w:div>
        <w:div w:id="946472657">
          <w:marLeft w:val="1800"/>
          <w:marRight w:val="0"/>
          <w:marTop w:val="67"/>
          <w:marBottom w:val="0"/>
          <w:divBdr>
            <w:top w:val="none" w:sz="0" w:space="0" w:color="auto"/>
            <w:left w:val="none" w:sz="0" w:space="0" w:color="auto"/>
            <w:bottom w:val="none" w:sz="0" w:space="0" w:color="auto"/>
            <w:right w:val="none" w:sz="0" w:space="0" w:color="auto"/>
          </w:divBdr>
        </w:div>
        <w:div w:id="1902714441">
          <w:marLeft w:val="1440"/>
          <w:marRight w:val="0"/>
          <w:marTop w:val="82"/>
          <w:marBottom w:val="0"/>
          <w:divBdr>
            <w:top w:val="none" w:sz="0" w:space="0" w:color="auto"/>
            <w:left w:val="none" w:sz="0" w:space="0" w:color="auto"/>
            <w:bottom w:val="none" w:sz="0" w:space="0" w:color="auto"/>
            <w:right w:val="none" w:sz="0" w:space="0" w:color="auto"/>
          </w:divBdr>
        </w:div>
        <w:div w:id="930313045">
          <w:marLeft w:val="1800"/>
          <w:marRight w:val="0"/>
          <w:marTop w:val="67"/>
          <w:marBottom w:val="0"/>
          <w:divBdr>
            <w:top w:val="none" w:sz="0" w:space="0" w:color="auto"/>
            <w:left w:val="none" w:sz="0" w:space="0" w:color="auto"/>
            <w:bottom w:val="none" w:sz="0" w:space="0" w:color="auto"/>
            <w:right w:val="none" w:sz="0" w:space="0" w:color="auto"/>
          </w:divBdr>
        </w:div>
        <w:div w:id="2014532013">
          <w:marLeft w:val="1440"/>
          <w:marRight w:val="0"/>
          <w:marTop w:val="82"/>
          <w:marBottom w:val="0"/>
          <w:divBdr>
            <w:top w:val="none" w:sz="0" w:space="0" w:color="auto"/>
            <w:left w:val="none" w:sz="0" w:space="0" w:color="auto"/>
            <w:bottom w:val="none" w:sz="0" w:space="0" w:color="auto"/>
            <w:right w:val="none" w:sz="0" w:space="0" w:color="auto"/>
          </w:divBdr>
        </w:div>
        <w:div w:id="1657761736">
          <w:marLeft w:val="1800"/>
          <w:marRight w:val="0"/>
          <w:marTop w:val="67"/>
          <w:marBottom w:val="0"/>
          <w:divBdr>
            <w:top w:val="none" w:sz="0" w:space="0" w:color="auto"/>
            <w:left w:val="none" w:sz="0" w:space="0" w:color="auto"/>
            <w:bottom w:val="none" w:sz="0" w:space="0" w:color="auto"/>
            <w:right w:val="none" w:sz="0" w:space="0" w:color="auto"/>
          </w:divBdr>
        </w:div>
        <w:div w:id="1747145989">
          <w:marLeft w:val="1440"/>
          <w:marRight w:val="0"/>
          <w:marTop w:val="82"/>
          <w:marBottom w:val="0"/>
          <w:divBdr>
            <w:top w:val="none" w:sz="0" w:space="0" w:color="auto"/>
            <w:left w:val="none" w:sz="0" w:space="0" w:color="auto"/>
            <w:bottom w:val="none" w:sz="0" w:space="0" w:color="auto"/>
            <w:right w:val="none" w:sz="0" w:space="0" w:color="auto"/>
          </w:divBdr>
        </w:div>
        <w:div w:id="437410664">
          <w:marLeft w:val="1800"/>
          <w:marRight w:val="0"/>
          <w:marTop w:val="67"/>
          <w:marBottom w:val="0"/>
          <w:divBdr>
            <w:top w:val="none" w:sz="0" w:space="0" w:color="auto"/>
            <w:left w:val="none" w:sz="0" w:space="0" w:color="auto"/>
            <w:bottom w:val="none" w:sz="0" w:space="0" w:color="auto"/>
            <w:right w:val="none" w:sz="0" w:space="0" w:color="auto"/>
          </w:divBdr>
        </w:div>
        <w:div w:id="698897954">
          <w:marLeft w:val="1440"/>
          <w:marRight w:val="0"/>
          <w:marTop w:val="82"/>
          <w:marBottom w:val="0"/>
          <w:divBdr>
            <w:top w:val="none" w:sz="0" w:space="0" w:color="auto"/>
            <w:left w:val="none" w:sz="0" w:space="0" w:color="auto"/>
            <w:bottom w:val="none" w:sz="0" w:space="0" w:color="auto"/>
            <w:right w:val="none" w:sz="0" w:space="0" w:color="auto"/>
          </w:divBdr>
        </w:div>
        <w:div w:id="911741695">
          <w:marLeft w:val="180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ECE8-7CBB-468F-AB31-CD6247A2B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27</cp:revision>
  <dcterms:created xsi:type="dcterms:W3CDTF">2017-08-09T07:55:00Z</dcterms:created>
  <dcterms:modified xsi:type="dcterms:W3CDTF">2017-08-11T02:04:00Z</dcterms:modified>
</cp:coreProperties>
</file>